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_GBK" w:hAnsi="?????_GBK" w:cs="Times New Roman" w:eastAsiaTheme="minorEastAsia"/>
          <w:sz w:val="10"/>
          <w:szCs w:val="10"/>
          <w:lang w:eastAsia="zh-CN"/>
        </w:rPr>
      </w:pPr>
    </w:p>
    <w:p>
      <w:pPr>
        <w:rPr>
          <w:rFonts w:ascii="?????_GBK" w:hAnsi="?????_GBK" w:eastAsia="Times New Roman" w:cs="Times New Roman"/>
          <w:sz w:val="10"/>
          <w:szCs w:val="10"/>
        </w:rPr>
      </w:pPr>
    </w:p>
    <w:p>
      <w:pPr>
        <w:rPr>
          <w:rFonts w:ascii="?????_GBK" w:hAnsi="?????_GBK" w:eastAsia="Times New Roman" w:cs="Times New Roman"/>
          <w:sz w:val="10"/>
          <w:szCs w:val="10"/>
        </w:rPr>
      </w:pPr>
    </w:p>
    <w:p>
      <w:pPr>
        <w:rPr>
          <w:rFonts w:ascii="?????_GBK" w:hAnsi="?????_GBK" w:eastAsia="Times New Roman" w:cs="Times New Roman"/>
          <w:sz w:val="10"/>
          <w:szCs w:val="10"/>
        </w:rPr>
      </w:pPr>
    </w:p>
    <w:p>
      <w:pPr>
        <w:rPr>
          <w:rFonts w:ascii="?????_GBK" w:hAnsi="?????_GBK" w:eastAsia="Times New Roman" w:cs="Times New Roman"/>
          <w:sz w:val="10"/>
          <w:szCs w:val="10"/>
        </w:rPr>
      </w:pPr>
    </w:p>
    <w:p>
      <w:pPr>
        <w:jc w:val="center"/>
        <w:rPr>
          <w:rFonts w:ascii="?????_GBK" w:hAnsi="?????_GBK" w:eastAsia="Times New Roman" w:cs="Times New Roman"/>
          <w:b/>
          <w:bCs/>
          <w:sz w:val="76"/>
          <w:szCs w:val="76"/>
        </w:rPr>
      </w:pPr>
      <w:r>
        <w:rPr>
          <w:rFonts w:hint="eastAsia" w:ascii="宋体" w:hAnsi="宋体" w:cs="宋体"/>
          <w:b/>
          <w:bCs/>
          <w:sz w:val="76"/>
          <w:szCs w:val="76"/>
        </w:rPr>
        <w:t>政府采购</w:t>
      </w:r>
    </w:p>
    <w:p>
      <w:pPr>
        <w:spacing w:line="360" w:lineRule="auto"/>
        <w:jc w:val="center"/>
        <w:rPr>
          <w:rFonts w:ascii="?????_GBK" w:hAnsi="?????_GBK" w:eastAsia="Times New Roman" w:cs="Times New Roman"/>
          <w:sz w:val="76"/>
          <w:szCs w:val="76"/>
        </w:rPr>
      </w:pPr>
      <w:r>
        <w:rPr>
          <w:rFonts w:hint="eastAsia" w:ascii="宋体" w:hAnsi="宋体" w:cs="宋体"/>
          <w:b/>
          <w:bCs/>
          <w:sz w:val="76"/>
          <w:szCs w:val="76"/>
        </w:rPr>
        <w:t>竞争性谈判文件</w:t>
      </w:r>
    </w:p>
    <w:p>
      <w:pPr>
        <w:spacing w:line="360" w:lineRule="auto"/>
        <w:rPr>
          <w:rFonts w:ascii="华文中宋" w:hAnsi="华文中宋" w:eastAsia="华文中宋" w:cs="Times New Roman"/>
          <w:sz w:val="32"/>
          <w:szCs w:val="32"/>
        </w:rPr>
      </w:pPr>
    </w:p>
    <w:p>
      <w:pPr>
        <w:spacing w:line="360" w:lineRule="auto"/>
        <w:rPr>
          <w:rFonts w:ascii="华文中宋" w:hAnsi="华文中宋" w:eastAsia="华文中宋"/>
          <w:sz w:val="28"/>
          <w:szCs w:val="28"/>
        </w:rPr>
      </w:pPr>
    </w:p>
    <w:p>
      <w:pPr>
        <w:spacing w:line="360" w:lineRule="auto"/>
        <w:rPr>
          <w:rFonts w:ascii="华文中宋" w:hAnsi="华文中宋" w:eastAsia="华文中宋"/>
          <w:sz w:val="28"/>
          <w:szCs w:val="28"/>
        </w:rPr>
      </w:pPr>
    </w:p>
    <w:p>
      <w:pPr>
        <w:spacing w:line="360" w:lineRule="auto"/>
        <w:ind w:left="2240" w:hanging="2240" w:hangingChars="700"/>
        <w:rPr>
          <w:rFonts w:ascii="宋体" w:hAnsi="宋体" w:cs="宋体"/>
          <w:sz w:val="32"/>
          <w:szCs w:val="32"/>
        </w:rPr>
      </w:pPr>
      <w:r>
        <w:rPr>
          <w:rFonts w:hint="eastAsia" w:ascii="宋体" w:hAnsi="宋体" w:cs="宋体"/>
          <w:sz w:val="32"/>
          <w:szCs w:val="32"/>
        </w:rPr>
        <w:t>采购项目名称：</w:t>
      </w:r>
      <w:r>
        <w:rPr>
          <w:rFonts w:hint="eastAsia" w:ascii="宋体" w:hAnsi="宋体" w:cs="宋体"/>
          <w:sz w:val="32"/>
          <w:szCs w:val="32"/>
          <w:lang w:eastAsia="zh-CN"/>
        </w:rPr>
        <w:t>华容县农业局编印“三农”政策科技宣传资料</w:t>
      </w:r>
    </w:p>
    <w:p>
      <w:pPr>
        <w:spacing w:line="360" w:lineRule="auto"/>
        <w:rPr>
          <w:rFonts w:ascii="华文中宋" w:hAnsi="华文中宋" w:eastAsia="华文中宋" w:cs="Times New Roman"/>
          <w:sz w:val="32"/>
          <w:szCs w:val="32"/>
        </w:rPr>
      </w:pPr>
      <w:r>
        <w:rPr>
          <w:rFonts w:hint="eastAsia" w:ascii="宋体" w:hAnsi="宋体" w:cs="宋体"/>
          <w:sz w:val="32"/>
          <w:szCs w:val="32"/>
        </w:rPr>
        <w:t>采   购   人：</w:t>
      </w:r>
      <w:r>
        <w:rPr>
          <w:rFonts w:hint="eastAsia" w:ascii="宋体" w:hAnsi="宋体" w:cs="宋体"/>
          <w:sz w:val="32"/>
          <w:szCs w:val="32"/>
          <w:lang w:eastAsia="zh-CN"/>
        </w:rPr>
        <w:t>华容县农业</w:t>
      </w:r>
      <w:r>
        <w:rPr>
          <w:rFonts w:hint="eastAsia" w:ascii="宋体" w:hAnsi="宋体" w:cs="宋体"/>
          <w:sz w:val="32"/>
          <w:szCs w:val="32"/>
        </w:rPr>
        <w:t>局</w:t>
      </w:r>
    </w:p>
    <w:p>
      <w:pPr>
        <w:spacing w:line="360" w:lineRule="auto"/>
        <w:rPr>
          <w:rFonts w:hint="eastAsia" w:ascii="华文中宋" w:hAnsi="华文中宋" w:eastAsia="华文中宋"/>
          <w:sz w:val="32"/>
          <w:szCs w:val="32"/>
        </w:rPr>
      </w:pPr>
      <w:r>
        <w:rPr>
          <w:rFonts w:hint="eastAsia" w:ascii="宋体" w:hAnsi="宋体" w:cs="宋体"/>
          <w:sz w:val="32"/>
          <w:szCs w:val="32"/>
        </w:rPr>
        <w:t>政府采购编号</w:t>
      </w:r>
      <w:r>
        <w:rPr>
          <w:rFonts w:ascii="华文中宋" w:hAnsi="华文中宋" w:eastAsia="华文中宋" w:cs="华文中宋"/>
          <w:sz w:val="32"/>
          <w:szCs w:val="32"/>
        </w:rPr>
        <w:t xml:space="preserve">: </w:t>
      </w:r>
      <w:r>
        <w:rPr>
          <w:rFonts w:hint="eastAsia" w:ascii="华文中宋" w:hAnsi="华文中宋" w:eastAsia="华文中宋" w:cs="华文中宋"/>
          <w:sz w:val="32"/>
          <w:szCs w:val="32"/>
          <w:lang w:eastAsia="zh-CN"/>
        </w:rPr>
        <w:t>华</w:t>
      </w:r>
      <w:r>
        <w:rPr>
          <w:rFonts w:hint="eastAsia" w:ascii="华文中宋" w:hAnsi="华文中宋" w:eastAsia="华文中宋"/>
          <w:sz w:val="32"/>
          <w:szCs w:val="32"/>
        </w:rPr>
        <w:t>财采计【</w:t>
      </w:r>
      <w:r>
        <w:rPr>
          <w:rFonts w:hint="eastAsia" w:ascii="华文中宋" w:hAnsi="华文中宋" w:eastAsia="华文中宋"/>
          <w:color w:val="0C0C0C" w:themeColor="text1" w:themeTint="F2"/>
          <w:sz w:val="32"/>
          <w:szCs w:val="32"/>
        </w:rPr>
        <w:t>2017】</w:t>
      </w:r>
      <w:r>
        <w:rPr>
          <w:rFonts w:hint="eastAsia" w:ascii="华文中宋" w:hAnsi="华文中宋" w:eastAsia="华文中宋"/>
          <w:color w:val="0C0C0C" w:themeColor="text1" w:themeTint="F2"/>
          <w:sz w:val="32"/>
          <w:szCs w:val="32"/>
          <w:lang w:val="en-US" w:eastAsia="zh-CN"/>
        </w:rPr>
        <w:t>376</w:t>
      </w:r>
      <w:r>
        <w:rPr>
          <w:rFonts w:hint="eastAsia" w:ascii="华文中宋" w:hAnsi="华文中宋" w:eastAsia="华文中宋"/>
          <w:color w:val="0C0C0C" w:themeColor="text1" w:themeTint="F2"/>
          <w:sz w:val="32"/>
          <w:szCs w:val="32"/>
        </w:rPr>
        <w:t>号</w:t>
      </w:r>
    </w:p>
    <w:p>
      <w:pPr>
        <w:spacing w:line="360" w:lineRule="auto"/>
        <w:rPr>
          <w:rFonts w:hint="eastAsia" w:ascii="华文中宋" w:hAnsi="华文中宋" w:eastAsia="华文中宋"/>
          <w:sz w:val="32"/>
          <w:szCs w:val="32"/>
          <w:lang w:eastAsia="zh-CN"/>
        </w:rPr>
      </w:pPr>
      <w:r>
        <w:rPr>
          <w:rFonts w:hint="eastAsia" w:ascii="华文中宋" w:hAnsi="华文中宋" w:eastAsia="华文中宋"/>
          <w:sz w:val="32"/>
          <w:szCs w:val="32"/>
          <w:lang w:eastAsia="zh-CN"/>
        </w:rPr>
        <w:t>委托代理编号：</w:t>
      </w:r>
      <w:r>
        <w:rPr>
          <w:rFonts w:hint="eastAsia" w:ascii="华文中宋" w:hAnsi="华文中宋" w:eastAsia="华文中宋"/>
          <w:sz w:val="32"/>
          <w:szCs w:val="32"/>
        </w:rPr>
        <w:t>HNXZ-2017-YY-RKZB-1300</w:t>
      </w:r>
    </w:p>
    <w:p>
      <w:pPr>
        <w:spacing w:line="360" w:lineRule="auto"/>
        <w:rPr>
          <w:rFonts w:ascii="华文中宋" w:hAnsi="华文中宋" w:eastAsia="华文中宋" w:cs="Times New Roman"/>
          <w:sz w:val="32"/>
          <w:szCs w:val="32"/>
        </w:rPr>
      </w:pPr>
      <w:r>
        <w:rPr>
          <w:rFonts w:hint="eastAsia" w:ascii="宋体" w:hAnsi="宋体" w:cs="宋体"/>
          <w:sz w:val="32"/>
          <w:szCs w:val="32"/>
        </w:rPr>
        <w:t>采购代理机构</w:t>
      </w:r>
      <w:r>
        <w:rPr>
          <w:rFonts w:ascii="华文中宋" w:hAnsi="华文中宋" w:eastAsia="华文中宋" w:cs="华文中宋"/>
          <w:sz w:val="32"/>
          <w:szCs w:val="32"/>
        </w:rPr>
        <w:t xml:space="preserve">: </w:t>
      </w:r>
      <w:r>
        <w:rPr>
          <w:rFonts w:hint="eastAsia" w:ascii="宋体" w:hAnsi="宋体" w:cs="宋体"/>
          <w:sz w:val="32"/>
          <w:szCs w:val="32"/>
        </w:rPr>
        <w:t>湖南</w:t>
      </w:r>
      <w:r>
        <w:rPr>
          <w:rFonts w:hint="eastAsia" w:ascii="宋体" w:hAnsi="宋体" w:cs="宋体"/>
          <w:sz w:val="32"/>
          <w:szCs w:val="32"/>
          <w:lang w:eastAsia="zh-CN"/>
        </w:rPr>
        <w:t>省湘咨工程咨询有限责任</w:t>
      </w:r>
      <w:r>
        <w:rPr>
          <w:rFonts w:hint="eastAsia" w:ascii="宋体" w:hAnsi="宋体" w:cs="宋体"/>
          <w:sz w:val="32"/>
          <w:szCs w:val="32"/>
        </w:rPr>
        <w:t>公司</w:t>
      </w:r>
    </w:p>
    <w:p>
      <w:pPr>
        <w:spacing w:line="360" w:lineRule="auto"/>
        <w:rPr>
          <w:rFonts w:ascii="华文中宋" w:hAnsi="华文中宋" w:eastAsia="华文中宋" w:cs="Times New Roman"/>
          <w:sz w:val="32"/>
          <w:szCs w:val="32"/>
        </w:rPr>
      </w:pPr>
    </w:p>
    <w:p>
      <w:pPr>
        <w:spacing w:line="360" w:lineRule="auto"/>
        <w:rPr>
          <w:rFonts w:ascii="华文中宋" w:hAnsi="华文中宋" w:eastAsia="华文中宋" w:cs="Times New Roman"/>
          <w:sz w:val="32"/>
          <w:szCs w:val="32"/>
        </w:rPr>
      </w:pPr>
    </w:p>
    <w:p>
      <w:pPr>
        <w:spacing w:line="360" w:lineRule="auto"/>
        <w:rPr>
          <w:rFonts w:ascii="华文中宋" w:hAnsi="华文中宋" w:eastAsia="华文中宋" w:cs="Times New Roman"/>
          <w:sz w:val="32"/>
          <w:szCs w:val="32"/>
        </w:rPr>
      </w:pPr>
    </w:p>
    <w:p>
      <w:pPr>
        <w:spacing w:line="360" w:lineRule="auto"/>
        <w:rPr>
          <w:rFonts w:ascii="华文中宋" w:hAnsi="华文中宋" w:eastAsia="华文中宋" w:cs="Times New Roman"/>
          <w:sz w:val="32"/>
          <w:szCs w:val="32"/>
        </w:rPr>
      </w:pPr>
    </w:p>
    <w:p>
      <w:pPr>
        <w:spacing w:line="360" w:lineRule="auto"/>
        <w:rPr>
          <w:rFonts w:ascii="华文中宋" w:hAnsi="华文中宋" w:eastAsia="华文中宋" w:cs="Times New Roman"/>
          <w:sz w:val="32"/>
          <w:szCs w:val="32"/>
        </w:rPr>
      </w:pPr>
    </w:p>
    <w:p>
      <w:pPr>
        <w:spacing w:line="360" w:lineRule="auto"/>
        <w:jc w:val="center"/>
        <w:rPr>
          <w:rFonts w:ascii="华文中宋" w:hAnsi="华文中宋" w:eastAsia="华文中宋" w:cs="Times New Roman"/>
          <w:sz w:val="32"/>
          <w:szCs w:val="32"/>
        </w:rPr>
      </w:pPr>
      <w:r>
        <w:rPr>
          <w:rFonts w:ascii="华文中宋" w:hAnsi="华文中宋" w:eastAsia="华文中宋" w:cs="华文中宋"/>
          <w:sz w:val="32"/>
          <w:szCs w:val="32"/>
        </w:rPr>
        <w:t>201</w:t>
      </w:r>
      <w:r>
        <w:rPr>
          <w:rFonts w:hint="eastAsia" w:ascii="华文中宋" w:hAnsi="华文中宋" w:eastAsia="华文中宋" w:cs="华文中宋"/>
          <w:sz w:val="32"/>
          <w:szCs w:val="32"/>
        </w:rPr>
        <w:t>7</w:t>
      </w:r>
      <w:r>
        <w:rPr>
          <w:rFonts w:hint="eastAsia" w:ascii="宋体" w:hAnsi="宋体" w:cs="宋体"/>
          <w:sz w:val="32"/>
          <w:szCs w:val="32"/>
        </w:rPr>
        <w:t>年</w:t>
      </w:r>
      <w:r>
        <w:rPr>
          <w:rFonts w:hint="eastAsia" w:ascii="宋体" w:hAnsi="宋体" w:cs="宋体"/>
          <w:sz w:val="32"/>
          <w:szCs w:val="32"/>
          <w:lang w:val="en-US" w:eastAsia="zh-CN"/>
        </w:rPr>
        <w:t>12</w:t>
      </w:r>
      <w:r>
        <w:rPr>
          <w:rFonts w:hint="eastAsia" w:ascii="宋体" w:hAnsi="宋体" w:cs="宋体"/>
          <w:sz w:val="32"/>
          <w:szCs w:val="32"/>
        </w:rPr>
        <w:t>月</w:t>
      </w:r>
    </w:p>
    <w:p>
      <w:pPr>
        <w:spacing w:line="360" w:lineRule="auto"/>
        <w:jc w:val="center"/>
        <w:rPr>
          <w:rFonts w:ascii="?????_GBK" w:hAnsi="?????_GBK" w:eastAsia="Times New Roman" w:cs="Times New Roman"/>
          <w:spacing w:val="160"/>
          <w:sz w:val="36"/>
          <w:szCs w:val="36"/>
        </w:rPr>
      </w:pPr>
    </w:p>
    <w:p>
      <w:pPr>
        <w:spacing w:line="360" w:lineRule="auto"/>
        <w:jc w:val="center"/>
        <w:rPr>
          <w:rFonts w:hint="eastAsia" w:ascii="宋体" w:hAnsi="宋体" w:cs="宋体"/>
          <w:spacing w:val="160"/>
          <w:sz w:val="36"/>
          <w:szCs w:val="36"/>
        </w:rPr>
      </w:pPr>
    </w:p>
    <w:p>
      <w:pPr>
        <w:spacing w:line="360" w:lineRule="auto"/>
        <w:jc w:val="center"/>
        <w:rPr>
          <w:rFonts w:ascii="?????_GBK" w:hAnsi="?????_GBK" w:eastAsia="Times New Roman" w:cs="Times New Roman"/>
          <w:spacing w:val="160"/>
          <w:sz w:val="44"/>
          <w:szCs w:val="44"/>
        </w:rPr>
      </w:pPr>
      <w:r>
        <w:rPr>
          <w:rFonts w:hint="eastAsia" w:ascii="宋体" w:hAnsi="宋体" w:cs="宋体"/>
          <w:spacing w:val="160"/>
          <w:sz w:val="44"/>
          <w:szCs w:val="44"/>
        </w:rPr>
        <w:t>目录</w:t>
      </w:r>
    </w:p>
    <w:p>
      <w:pPr>
        <w:spacing w:line="360" w:lineRule="auto"/>
        <w:rPr>
          <w:rFonts w:ascii="宋体" w:cs="Times New Roman"/>
          <w:b/>
          <w:bCs/>
          <w:sz w:val="24"/>
          <w:szCs w:val="24"/>
        </w:rPr>
      </w:pPr>
    </w:p>
    <w:p>
      <w:pPr>
        <w:spacing w:line="360" w:lineRule="auto"/>
        <w:rPr>
          <w:rFonts w:ascii="宋体" w:cs="Times New Roman"/>
          <w:b/>
          <w:bCs/>
          <w:sz w:val="24"/>
          <w:szCs w:val="24"/>
        </w:rPr>
      </w:pPr>
    </w:p>
    <w:p>
      <w:pPr>
        <w:spacing w:line="360" w:lineRule="auto"/>
        <w:rPr>
          <w:rFonts w:ascii="宋体" w:cs="Times New Roman"/>
          <w:b/>
          <w:bCs/>
          <w:sz w:val="24"/>
          <w:szCs w:val="24"/>
        </w:rPr>
      </w:pPr>
      <w:r>
        <w:rPr>
          <w:rFonts w:hint="eastAsia" w:ascii="宋体" w:hAnsi="宋体" w:cs="宋体"/>
          <w:b/>
          <w:bCs/>
          <w:sz w:val="24"/>
          <w:szCs w:val="24"/>
        </w:rPr>
        <w:t>第一章  谈判</w:t>
      </w:r>
      <w:r>
        <w:rPr>
          <w:rFonts w:hint="eastAsia" w:ascii="宋体" w:hAnsi="宋体" w:cs="宋体"/>
          <w:b/>
          <w:bCs/>
          <w:sz w:val="24"/>
          <w:szCs w:val="24"/>
          <w:lang w:eastAsia="zh-CN"/>
        </w:rPr>
        <w:t>通知</w:t>
      </w:r>
      <w:r>
        <w:rPr>
          <w:rFonts w:hint="eastAsia" w:ascii="宋体" w:hAnsi="宋体" w:cs="宋体"/>
          <w:b/>
          <w:bCs/>
          <w:sz w:val="24"/>
          <w:szCs w:val="24"/>
          <w:lang w:val="en-US" w:eastAsia="zh-CN"/>
        </w:rPr>
        <w:t xml:space="preserve"> </w:t>
      </w:r>
      <w:r>
        <w:rPr>
          <w:rFonts w:hint="eastAsia" w:ascii="宋体" w:hAnsi="宋体" w:cs="宋体"/>
          <w:b w:val="0"/>
          <w:bCs w:val="0"/>
          <w:sz w:val="24"/>
          <w:szCs w:val="24"/>
          <w:lang w:val="en-US" w:eastAsia="zh-CN"/>
        </w:rPr>
        <w:t>………………………………………………………………… 2</w:t>
      </w:r>
    </w:p>
    <w:p>
      <w:pPr>
        <w:spacing w:line="360" w:lineRule="auto"/>
        <w:rPr>
          <w:rFonts w:ascii="宋体" w:cs="Times New Roman"/>
          <w:b/>
          <w:bCs/>
          <w:sz w:val="24"/>
          <w:szCs w:val="24"/>
        </w:rPr>
      </w:pPr>
      <w:r>
        <w:rPr>
          <w:rFonts w:hint="eastAsia" w:ascii="宋体" w:hAnsi="宋体" w:cs="宋体"/>
          <w:b/>
          <w:bCs/>
          <w:sz w:val="24"/>
          <w:szCs w:val="24"/>
        </w:rPr>
        <w:t>第二章  谈判须知</w:t>
      </w:r>
      <w:r>
        <w:rPr>
          <w:rFonts w:hint="eastAsia" w:ascii="宋体" w:hAnsi="宋体" w:cs="宋体"/>
          <w:b/>
          <w:bCs/>
          <w:sz w:val="24"/>
          <w:szCs w:val="24"/>
          <w:lang w:val="en-US" w:eastAsia="zh-CN"/>
        </w:rPr>
        <w:t xml:space="preserve"> </w:t>
      </w:r>
      <w:r>
        <w:rPr>
          <w:rFonts w:hint="eastAsia" w:ascii="宋体" w:hAnsi="宋体" w:cs="宋体"/>
          <w:b w:val="0"/>
          <w:bCs w:val="0"/>
          <w:sz w:val="24"/>
          <w:szCs w:val="24"/>
          <w:lang w:val="en-US" w:eastAsia="zh-CN"/>
        </w:rPr>
        <w:t>………………………………………………………………… 4</w:t>
      </w:r>
    </w:p>
    <w:p>
      <w:pPr>
        <w:tabs>
          <w:tab w:val="left" w:pos="1440"/>
        </w:tabs>
        <w:spacing w:line="360" w:lineRule="auto"/>
        <w:ind w:firstLine="1050" w:firstLineChars="500"/>
        <w:rPr>
          <w:rFonts w:ascii="宋体" w:cs="Times New Roman"/>
        </w:rPr>
      </w:pPr>
      <w:r>
        <w:rPr>
          <w:rFonts w:hint="eastAsia" w:ascii="宋体" w:hAnsi="宋体" w:cs="宋体"/>
        </w:rPr>
        <w:t>谈判须知前附表</w:t>
      </w:r>
      <w:r>
        <w:rPr>
          <w:rFonts w:hint="eastAsia" w:ascii="宋体" w:hAnsi="宋体" w:cs="宋体"/>
          <w:lang w:val="en-US" w:eastAsia="zh-CN"/>
        </w:rPr>
        <w:t xml:space="preserve"> </w:t>
      </w:r>
      <w:r>
        <w:rPr>
          <w:rFonts w:hint="eastAsia" w:ascii="宋体" w:hAnsi="宋体" w:cs="宋体"/>
          <w:b w:val="0"/>
          <w:bCs w:val="0"/>
          <w:sz w:val="24"/>
          <w:szCs w:val="24"/>
          <w:lang w:val="en-US" w:eastAsia="zh-CN"/>
        </w:rPr>
        <w:t>……………………………………………………………4</w:t>
      </w:r>
    </w:p>
    <w:p>
      <w:pPr>
        <w:tabs>
          <w:tab w:val="left" w:pos="1440"/>
        </w:tabs>
        <w:spacing w:line="360" w:lineRule="auto"/>
        <w:ind w:firstLine="1050" w:firstLineChars="500"/>
        <w:rPr>
          <w:rFonts w:ascii="宋体" w:cs="Times New Roman"/>
        </w:rPr>
      </w:pPr>
      <w:r>
        <w:rPr>
          <w:rFonts w:hint="eastAsia" w:ascii="宋体" w:hAnsi="宋体" w:cs="宋体"/>
        </w:rPr>
        <w:t>谈判须知正文</w:t>
      </w:r>
      <w:r>
        <w:rPr>
          <w:rFonts w:hint="eastAsia" w:ascii="宋体" w:hAnsi="宋体" w:cs="宋体"/>
          <w:lang w:val="en-US" w:eastAsia="zh-CN"/>
        </w:rPr>
        <w:t xml:space="preserve"> </w:t>
      </w:r>
      <w:r>
        <w:rPr>
          <w:rFonts w:hint="eastAsia" w:ascii="宋体" w:hAnsi="宋体" w:cs="宋体"/>
          <w:b w:val="0"/>
          <w:bCs w:val="0"/>
          <w:sz w:val="24"/>
          <w:szCs w:val="24"/>
          <w:lang w:val="en-US" w:eastAsia="zh-CN"/>
        </w:rPr>
        <w:t>………………………………………………………………9</w:t>
      </w:r>
    </w:p>
    <w:p>
      <w:pPr>
        <w:tabs>
          <w:tab w:val="left" w:pos="1440"/>
        </w:tabs>
        <w:spacing w:line="360" w:lineRule="auto"/>
        <w:ind w:firstLine="630" w:firstLineChars="300"/>
        <w:rPr>
          <w:rFonts w:ascii="宋体" w:cs="Times New Roman"/>
        </w:rPr>
      </w:pPr>
      <w:r>
        <w:rPr>
          <w:rFonts w:hint="eastAsia" w:ascii="宋体" w:hAnsi="宋体" w:cs="宋体"/>
        </w:rPr>
        <w:t>一、说明</w:t>
      </w:r>
      <w:r>
        <w:rPr>
          <w:rFonts w:hint="eastAsia" w:ascii="宋体" w:hAnsi="宋体" w:cs="宋体"/>
          <w:lang w:val="en-US" w:eastAsia="zh-CN"/>
        </w:rPr>
        <w:t xml:space="preserve"> </w:t>
      </w:r>
      <w:r>
        <w:rPr>
          <w:rFonts w:hint="eastAsia" w:ascii="宋体" w:hAnsi="宋体" w:cs="宋体"/>
          <w:b w:val="0"/>
          <w:bCs w:val="0"/>
          <w:sz w:val="24"/>
          <w:szCs w:val="24"/>
          <w:lang w:val="en-US" w:eastAsia="zh-CN"/>
        </w:rPr>
        <w:t>……………………………………………………………………… 9</w:t>
      </w:r>
    </w:p>
    <w:p>
      <w:pPr>
        <w:tabs>
          <w:tab w:val="left" w:pos="1440"/>
        </w:tabs>
        <w:spacing w:line="360" w:lineRule="auto"/>
        <w:ind w:firstLine="630"/>
        <w:rPr>
          <w:rFonts w:ascii="宋体" w:cs="Times New Roman"/>
        </w:rPr>
      </w:pPr>
      <w:r>
        <w:rPr>
          <w:rFonts w:hint="eastAsia" w:ascii="宋体" w:hAnsi="宋体" w:cs="宋体"/>
        </w:rPr>
        <w:t>二、谈判文件</w:t>
      </w:r>
      <w:r>
        <w:rPr>
          <w:rFonts w:hint="eastAsia" w:ascii="宋体" w:hAnsi="宋体" w:cs="宋体"/>
          <w:b w:val="0"/>
          <w:bCs w:val="0"/>
          <w:sz w:val="24"/>
          <w:szCs w:val="24"/>
          <w:lang w:val="en-US" w:eastAsia="zh-CN"/>
        </w:rPr>
        <w:t>………………………………………………………………… 11</w:t>
      </w:r>
    </w:p>
    <w:p>
      <w:pPr>
        <w:spacing w:line="360" w:lineRule="auto"/>
        <w:ind w:firstLine="630"/>
        <w:rPr>
          <w:rFonts w:ascii="宋体" w:cs="Times New Roman"/>
        </w:rPr>
      </w:pPr>
      <w:r>
        <w:rPr>
          <w:rFonts w:hint="eastAsia" w:ascii="宋体" w:hAnsi="宋体" w:cs="宋体"/>
        </w:rPr>
        <w:t>三、响应文件</w:t>
      </w:r>
      <w:r>
        <w:rPr>
          <w:rFonts w:hint="eastAsia" w:ascii="宋体" w:hAnsi="宋体" w:cs="宋体"/>
          <w:b w:val="0"/>
          <w:bCs w:val="0"/>
          <w:sz w:val="24"/>
          <w:szCs w:val="24"/>
          <w:lang w:val="en-US" w:eastAsia="zh-CN"/>
        </w:rPr>
        <w:t>………………………………………………………………… 12</w:t>
      </w:r>
    </w:p>
    <w:p>
      <w:pPr>
        <w:spacing w:line="360" w:lineRule="auto"/>
        <w:ind w:firstLine="630"/>
        <w:rPr>
          <w:rFonts w:ascii="宋体" w:cs="Times New Roman"/>
        </w:rPr>
      </w:pPr>
      <w:r>
        <w:rPr>
          <w:rFonts w:hint="eastAsia" w:ascii="宋体" w:hAnsi="宋体" w:cs="宋体"/>
        </w:rPr>
        <w:t>四、响应文件的递交</w:t>
      </w:r>
      <w:r>
        <w:rPr>
          <w:rFonts w:hint="eastAsia" w:ascii="宋体" w:hAnsi="宋体" w:cs="宋体"/>
          <w:b w:val="0"/>
          <w:bCs w:val="0"/>
          <w:sz w:val="24"/>
          <w:szCs w:val="24"/>
          <w:lang w:val="en-US" w:eastAsia="zh-CN"/>
        </w:rPr>
        <w:t>……………………………………………………………15</w:t>
      </w:r>
    </w:p>
    <w:p>
      <w:pPr>
        <w:spacing w:line="360" w:lineRule="auto"/>
        <w:ind w:firstLine="630"/>
        <w:rPr>
          <w:rFonts w:ascii="宋体" w:cs="Times New Roman"/>
        </w:rPr>
      </w:pPr>
      <w:r>
        <w:rPr>
          <w:rFonts w:hint="eastAsia" w:ascii="宋体" w:hAnsi="宋体" w:cs="宋体"/>
        </w:rPr>
        <w:t>五、响应文件的评审与谈判</w:t>
      </w:r>
      <w:r>
        <w:rPr>
          <w:rFonts w:hint="eastAsia" w:ascii="宋体" w:hAnsi="宋体" w:cs="宋体"/>
          <w:lang w:val="en-US" w:eastAsia="zh-CN"/>
        </w:rPr>
        <w:t xml:space="preserve"> </w:t>
      </w:r>
      <w:r>
        <w:rPr>
          <w:rFonts w:hint="eastAsia" w:ascii="宋体" w:hAnsi="宋体" w:cs="宋体"/>
          <w:b w:val="0"/>
          <w:bCs w:val="0"/>
          <w:sz w:val="24"/>
          <w:szCs w:val="24"/>
          <w:lang w:val="en-US" w:eastAsia="zh-CN"/>
        </w:rPr>
        <w:t>……………………………………………………15</w:t>
      </w:r>
    </w:p>
    <w:p>
      <w:pPr>
        <w:spacing w:line="360" w:lineRule="auto"/>
        <w:ind w:firstLine="630"/>
        <w:rPr>
          <w:rFonts w:ascii="宋体" w:cs="Times New Roman"/>
        </w:rPr>
      </w:pPr>
      <w:r>
        <w:rPr>
          <w:rFonts w:hint="eastAsia" w:ascii="宋体" w:hAnsi="宋体" w:cs="宋体"/>
        </w:rPr>
        <w:t>六、成交结果信息公布与授予合同</w:t>
      </w:r>
      <w:r>
        <w:rPr>
          <w:rFonts w:hint="eastAsia" w:ascii="宋体" w:hAnsi="宋体" w:cs="宋体"/>
          <w:b w:val="0"/>
          <w:bCs w:val="0"/>
          <w:sz w:val="24"/>
          <w:szCs w:val="24"/>
          <w:lang w:val="en-US" w:eastAsia="zh-CN"/>
        </w:rPr>
        <w:t>…………………………………………… 20</w:t>
      </w:r>
    </w:p>
    <w:p>
      <w:pPr>
        <w:spacing w:line="360" w:lineRule="auto"/>
        <w:ind w:firstLine="630"/>
        <w:jc w:val="left"/>
        <w:rPr>
          <w:rFonts w:ascii="宋体" w:cs="Times New Roman"/>
        </w:rPr>
      </w:pPr>
      <w:r>
        <w:rPr>
          <w:rFonts w:hint="eastAsia" w:ascii="宋体" w:hAnsi="宋体" w:cs="宋体"/>
        </w:rPr>
        <w:t>七、其他规定</w:t>
      </w:r>
      <w:r>
        <w:rPr>
          <w:rFonts w:hint="eastAsia" w:ascii="宋体" w:hAnsi="宋体" w:cs="宋体"/>
          <w:b w:val="0"/>
          <w:bCs w:val="0"/>
          <w:sz w:val="24"/>
          <w:szCs w:val="24"/>
          <w:lang w:val="en-US" w:eastAsia="zh-CN"/>
        </w:rPr>
        <w:t>………………………………………………………………… 21</w:t>
      </w:r>
    </w:p>
    <w:p>
      <w:pPr>
        <w:spacing w:line="360" w:lineRule="auto"/>
        <w:rPr>
          <w:rFonts w:ascii="宋体" w:cs="Times New Roman"/>
          <w:b/>
          <w:bCs/>
          <w:sz w:val="24"/>
          <w:szCs w:val="24"/>
        </w:rPr>
      </w:pPr>
      <w:r>
        <w:rPr>
          <w:rFonts w:hint="eastAsia" w:ascii="宋体" w:hAnsi="宋体" w:cs="宋体"/>
          <w:b/>
          <w:bCs/>
          <w:sz w:val="24"/>
          <w:szCs w:val="24"/>
        </w:rPr>
        <w:t>第三章  政府采购合同格式</w:t>
      </w:r>
      <w:r>
        <w:rPr>
          <w:rFonts w:hint="eastAsia" w:ascii="宋体" w:hAnsi="宋体" w:cs="宋体"/>
          <w:b/>
          <w:bCs/>
          <w:sz w:val="24"/>
          <w:szCs w:val="24"/>
          <w:lang w:val="en-US" w:eastAsia="zh-CN"/>
        </w:rPr>
        <w:t xml:space="preserve"> </w:t>
      </w:r>
      <w:r>
        <w:rPr>
          <w:rFonts w:hint="eastAsia" w:ascii="宋体" w:hAnsi="宋体" w:cs="宋体"/>
          <w:b w:val="0"/>
          <w:bCs w:val="0"/>
          <w:sz w:val="24"/>
          <w:szCs w:val="24"/>
          <w:lang w:val="en-US" w:eastAsia="zh-CN"/>
        </w:rPr>
        <w:t>………………………………………………………28</w:t>
      </w:r>
    </w:p>
    <w:p>
      <w:pPr>
        <w:spacing w:line="360" w:lineRule="auto"/>
        <w:rPr>
          <w:rFonts w:ascii="宋体" w:cs="Times New Roman"/>
          <w:b/>
          <w:bCs/>
          <w:sz w:val="24"/>
          <w:szCs w:val="24"/>
        </w:rPr>
      </w:pPr>
      <w:r>
        <w:rPr>
          <w:rFonts w:hint="eastAsia" w:ascii="宋体" w:hAnsi="宋体" w:cs="宋体"/>
          <w:b/>
          <w:bCs/>
          <w:sz w:val="24"/>
          <w:szCs w:val="24"/>
        </w:rPr>
        <w:t>第四章  采购需求</w:t>
      </w:r>
      <w:r>
        <w:rPr>
          <w:rFonts w:hint="eastAsia" w:ascii="宋体" w:hAnsi="宋体" w:cs="宋体"/>
          <w:b/>
          <w:bCs/>
          <w:sz w:val="24"/>
          <w:szCs w:val="24"/>
          <w:lang w:val="en-US" w:eastAsia="zh-CN"/>
        </w:rPr>
        <w:t xml:space="preserve"> </w:t>
      </w:r>
      <w:r>
        <w:rPr>
          <w:rFonts w:hint="eastAsia" w:ascii="宋体" w:hAnsi="宋体" w:cs="宋体"/>
          <w:b w:val="0"/>
          <w:bCs w:val="0"/>
          <w:sz w:val="24"/>
          <w:szCs w:val="24"/>
          <w:lang w:val="en-US" w:eastAsia="zh-CN"/>
        </w:rPr>
        <w:t>………………………………………………………………  38</w:t>
      </w:r>
    </w:p>
    <w:p>
      <w:pPr>
        <w:spacing w:line="360" w:lineRule="auto"/>
        <w:rPr>
          <w:rFonts w:ascii="宋体" w:hAnsi="宋体" w:cs="宋体"/>
          <w:b/>
          <w:bCs/>
          <w:sz w:val="24"/>
          <w:szCs w:val="24"/>
        </w:rPr>
      </w:pPr>
      <w:r>
        <w:rPr>
          <w:rFonts w:hint="eastAsia" w:ascii="宋体" w:hAnsi="宋体" w:cs="宋体"/>
          <w:b/>
          <w:bCs/>
          <w:sz w:val="24"/>
          <w:szCs w:val="24"/>
        </w:rPr>
        <w:t>第五章  响应文件组成</w:t>
      </w:r>
      <w:r>
        <w:rPr>
          <w:rFonts w:hint="eastAsia" w:ascii="宋体" w:hAnsi="宋体" w:cs="宋体"/>
          <w:b/>
          <w:bCs/>
          <w:sz w:val="24"/>
          <w:szCs w:val="24"/>
          <w:lang w:val="en-US" w:eastAsia="zh-CN"/>
        </w:rPr>
        <w:t xml:space="preserve"> </w:t>
      </w:r>
      <w:r>
        <w:rPr>
          <w:rFonts w:hint="eastAsia" w:ascii="宋体" w:hAnsi="宋体" w:cs="宋体"/>
          <w:b w:val="0"/>
          <w:bCs w:val="0"/>
          <w:sz w:val="24"/>
          <w:szCs w:val="24"/>
          <w:lang w:val="en-US" w:eastAsia="zh-CN"/>
        </w:rPr>
        <w:t>……………………………………………………………51</w:t>
      </w:r>
    </w:p>
    <w:p>
      <w:pPr>
        <w:spacing w:line="360" w:lineRule="auto"/>
        <w:rPr>
          <w:rFonts w:ascii="宋体" w:hAnsi="宋体" w:cs="宋体"/>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spacing w:line="360" w:lineRule="auto"/>
        <w:rPr>
          <w:rFonts w:ascii="黑体" w:hAnsi="黑体" w:eastAsia="黑体" w:cs="Times New Roman"/>
          <w:b/>
          <w:bCs/>
          <w:sz w:val="24"/>
          <w:szCs w:val="24"/>
        </w:rPr>
      </w:pPr>
    </w:p>
    <w:p>
      <w:pPr>
        <w:jc w:val="center"/>
        <w:rPr>
          <w:rFonts w:cs="Times New Roman" w:asciiTheme="majorEastAsia" w:hAnsiTheme="majorEastAsia" w:eastAsiaTheme="majorEastAsia"/>
          <w:b/>
          <w:sz w:val="32"/>
          <w:szCs w:val="32"/>
        </w:rPr>
      </w:pPr>
      <w:r>
        <w:rPr>
          <w:rFonts w:hint="eastAsia" w:cs="黑体" w:asciiTheme="majorEastAsia" w:hAnsiTheme="majorEastAsia" w:eastAsiaTheme="majorEastAsia"/>
          <w:b/>
          <w:sz w:val="32"/>
          <w:szCs w:val="32"/>
        </w:rPr>
        <w:t>第一章</w:t>
      </w:r>
      <w:r>
        <w:rPr>
          <w:rFonts w:cs="黑体" w:asciiTheme="majorEastAsia" w:hAnsiTheme="majorEastAsia" w:eastAsiaTheme="majorEastAsia"/>
          <w:b/>
          <w:sz w:val="32"/>
          <w:szCs w:val="32"/>
        </w:rPr>
        <w:t xml:space="preserve">  </w:t>
      </w:r>
      <w:r>
        <w:rPr>
          <w:rFonts w:hint="eastAsia" w:cs="黑体" w:asciiTheme="majorEastAsia" w:hAnsiTheme="majorEastAsia" w:eastAsiaTheme="majorEastAsia"/>
          <w:b/>
          <w:sz w:val="32"/>
          <w:szCs w:val="32"/>
        </w:rPr>
        <w:t>谈判</w:t>
      </w:r>
      <w:r>
        <w:rPr>
          <w:rFonts w:hint="eastAsia" w:cs="黑体" w:asciiTheme="majorEastAsia" w:hAnsiTheme="majorEastAsia" w:eastAsiaTheme="majorEastAsia"/>
          <w:b/>
          <w:sz w:val="32"/>
          <w:szCs w:val="32"/>
          <w:lang w:eastAsia="zh-CN"/>
        </w:rPr>
        <w:t>通知</w:t>
      </w:r>
    </w:p>
    <w:p>
      <w:pPr>
        <w:rPr>
          <w:rFonts w:ascii="宋体" w:hAnsi="宋体"/>
          <w:iCs/>
          <w:sz w:val="21"/>
          <w:szCs w:val="21"/>
          <w:u w:val="single"/>
        </w:rPr>
      </w:pPr>
      <w:r>
        <w:rPr>
          <w:rFonts w:hint="eastAsia" w:ascii="宋体" w:hAnsi="宋体"/>
          <w:iCs/>
          <w:sz w:val="21"/>
          <w:szCs w:val="21"/>
          <w:u w:val="single"/>
        </w:rPr>
        <w:t xml:space="preserve"> </w:t>
      </w:r>
      <w:r>
        <w:rPr>
          <w:rFonts w:hint="eastAsia" w:ascii="宋体" w:hAnsi="宋体"/>
          <w:iCs/>
          <w:sz w:val="21"/>
          <w:szCs w:val="21"/>
          <w:u w:val="single"/>
          <w:lang w:eastAsia="zh-CN"/>
        </w:rPr>
        <w:t>（被邀请的供应商）</w:t>
      </w:r>
      <w:r>
        <w:rPr>
          <w:rFonts w:hint="eastAsia" w:ascii="宋体" w:hAnsi="宋体"/>
          <w:iCs/>
          <w:sz w:val="21"/>
          <w:szCs w:val="21"/>
          <w:u w:val="single"/>
        </w:rPr>
        <w:t xml:space="preserve"> </w:t>
      </w:r>
      <w:r>
        <w:rPr>
          <w:rFonts w:hint="eastAsia" w:ascii="宋体" w:hAnsi="宋体"/>
          <w:iCs/>
          <w:sz w:val="21"/>
          <w:szCs w:val="21"/>
          <w:u w:val="none"/>
        </w:rPr>
        <w:t>：</w:t>
      </w:r>
    </w:p>
    <w:p>
      <w:pPr>
        <w:rPr>
          <w:rFonts w:ascii="宋体" w:hAnsi="宋体"/>
          <w:iCs/>
          <w:sz w:val="24"/>
          <w:szCs w:val="24"/>
          <w:u w:val="single"/>
        </w:rPr>
      </w:pPr>
    </w:p>
    <w:p>
      <w:pPr>
        <w:spacing w:line="360" w:lineRule="auto"/>
        <w:ind w:firstLine="420" w:firstLineChars="200"/>
        <w:rPr>
          <w:rFonts w:ascii="宋体" w:hAnsi="宋体"/>
          <w:iCs/>
          <w:sz w:val="21"/>
          <w:szCs w:val="21"/>
        </w:rPr>
      </w:pPr>
      <w:r>
        <w:rPr>
          <w:rFonts w:hint="eastAsia" w:ascii="宋体" w:hAnsi="宋体"/>
          <w:iCs/>
          <w:sz w:val="21"/>
          <w:szCs w:val="21"/>
          <w:u w:val="single"/>
          <w:lang w:eastAsia="zh-CN"/>
        </w:rPr>
        <w:t>华容县农业局</w:t>
      </w:r>
      <w:r>
        <w:rPr>
          <w:rFonts w:hint="eastAsia" w:ascii="宋体" w:hAnsi="宋体"/>
          <w:iCs/>
          <w:sz w:val="21"/>
          <w:szCs w:val="21"/>
        </w:rPr>
        <w:t>的</w:t>
      </w:r>
      <w:r>
        <w:rPr>
          <w:rFonts w:hint="eastAsia" w:ascii="宋体" w:hAnsi="宋体"/>
          <w:iCs/>
          <w:sz w:val="21"/>
          <w:szCs w:val="21"/>
          <w:u w:val="single"/>
          <w:lang w:eastAsia="zh-CN"/>
        </w:rPr>
        <w:t>华容县农业局编印“三农”政策科技宣传资料</w:t>
      </w:r>
      <w:r>
        <w:rPr>
          <w:rFonts w:hint="eastAsia" w:ascii="宋体" w:hAnsi="宋体"/>
          <w:iCs/>
          <w:sz w:val="21"/>
          <w:szCs w:val="21"/>
        </w:rPr>
        <w:t>（政府采购编号：</w:t>
      </w:r>
      <w:r>
        <w:rPr>
          <w:rFonts w:hint="eastAsia" w:ascii="宋体" w:hAnsi="宋体"/>
          <w:iCs/>
          <w:sz w:val="21"/>
          <w:szCs w:val="21"/>
          <w:u w:val="single"/>
          <w:lang w:eastAsia="zh-CN"/>
        </w:rPr>
        <w:t>华</w:t>
      </w:r>
      <w:r>
        <w:rPr>
          <w:rFonts w:hint="eastAsia" w:ascii="宋体" w:hAnsi="宋体"/>
          <w:iCs/>
          <w:color w:val="0C0C0C" w:themeColor="text1" w:themeTint="F2"/>
          <w:sz w:val="21"/>
          <w:szCs w:val="21"/>
          <w:u w:val="single"/>
        </w:rPr>
        <w:t>财采计【2017】</w:t>
      </w:r>
      <w:r>
        <w:rPr>
          <w:rFonts w:hint="eastAsia" w:ascii="宋体" w:hAnsi="宋体"/>
          <w:iCs/>
          <w:color w:val="0C0C0C" w:themeColor="text1" w:themeTint="F2"/>
          <w:sz w:val="21"/>
          <w:szCs w:val="21"/>
          <w:u w:val="single"/>
          <w:lang w:val="en-US" w:eastAsia="zh-CN"/>
        </w:rPr>
        <w:t>376</w:t>
      </w:r>
      <w:r>
        <w:rPr>
          <w:rFonts w:hint="eastAsia" w:ascii="宋体" w:hAnsi="宋体"/>
          <w:iCs/>
          <w:color w:val="0C0C0C" w:themeColor="text1" w:themeTint="F2"/>
          <w:sz w:val="21"/>
          <w:szCs w:val="21"/>
        </w:rPr>
        <w:t>，委托代理编号：</w:t>
      </w:r>
      <w:r>
        <w:rPr>
          <w:rFonts w:hint="eastAsia" w:ascii="宋体" w:hAnsi="宋体"/>
          <w:iCs/>
          <w:color w:val="0C0C0C" w:themeColor="text1" w:themeTint="F2"/>
          <w:sz w:val="21"/>
          <w:szCs w:val="21"/>
          <w:u w:val="single"/>
          <w:lang w:val="en-US" w:eastAsia="zh-CN"/>
        </w:rPr>
        <w:t xml:space="preserve"> </w:t>
      </w:r>
      <w:r>
        <w:rPr>
          <w:rFonts w:hint="eastAsia" w:ascii="宋体" w:hAnsi="宋体"/>
          <w:iCs/>
          <w:color w:val="0C0C0C" w:themeColor="text1" w:themeTint="F2"/>
          <w:sz w:val="21"/>
          <w:szCs w:val="21"/>
          <w:u w:val="single"/>
        </w:rPr>
        <w:t>HNXZ-2017-YY-RKZB-1300</w:t>
      </w:r>
      <w:r>
        <w:rPr>
          <w:rFonts w:hint="eastAsia" w:ascii="宋体" w:hAnsi="宋体"/>
          <w:iCs/>
          <w:color w:val="0C0C0C" w:themeColor="text1" w:themeTint="F2"/>
          <w:sz w:val="21"/>
          <w:szCs w:val="21"/>
          <w:u w:val="none"/>
        </w:rPr>
        <w:t>）</w:t>
      </w:r>
      <w:r>
        <w:rPr>
          <w:rFonts w:hint="eastAsia" w:ascii="宋体" w:hAnsi="宋体"/>
          <w:iCs/>
          <w:color w:val="0C0C0C" w:themeColor="text1" w:themeTint="F2"/>
          <w:sz w:val="21"/>
          <w:szCs w:val="21"/>
        </w:rPr>
        <w:t>项目</w:t>
      </w:r>
      <w:r>
        <w:rPr>
          <w:rFonts w:hint="eastAsia" w:ascii="宋体" w:hAnsi="宋体"/>
          <w:iCs/>
          <w:sz w:val="21"/>
          <w:szCs w:val="21"/>
        </w:rPr>
        <w:t>进行竞争性谈判采购。经谈判小组确定，通知你单位参加谈判。</w:t>
      </w:r>
    </w:p>
    <w:p>
      <w:pPr>
        <w:adjustRightInd w:val="0"/>
        <w:snapToGrid w:val="0"/>
        <w:spacing w:line="430" w:lineRule="exact"/>
        <w:ind w:firstLine="420" w:firstLineChars="200"/>
        <w:rPr>
          <w:rFonts w:hint="eastAsia" w:ascii="宋体" w:hAnsi="宋体"/>
          <w:iCs/>
          <w:sz w:val="21"/>
          <w:szCs w:val="21"/>
        </w:rPr>
      </w:pPr>
      <w:r>
        <w:rPr>
          <w:rFonts w:hint="eastAsia" w:ascii="宋体" w:hAnsi="宋体"/>
          <w:iCs/>
          <w:sz w:val="21"/>
          <w:szCs w:val="21"/>
        </w:rPr>
        <w:t>1、请</w:t>
      </w:r>
      <w:r>
        <w:rPr>
          <w:rFonts w:hint="eastAsia" w:ascii="宋体" w:hAnsi="宋体"/>
          <w:iCs/>
          <w:color w:val="0C0C0C" w:themeColor="text1" w:themeTint="F2"/>
          <w:sz w:val="21"/>
          <w:szCs w:val="21"/>
        </w:rPr>
        <w:t>你单位于2017年</w:t>
      </w:r>
      <w:r>
        <w:rPr>
          <w:rFonts w:hint="eastAsia" w:hAnsi="宋体"/>
          <w:iCs/>
          <w:color w:val="0C0C0C" w:themeColor="text1" w:themeTint="F2"/>
          <w:sz w:val="21"/>
          <w:szCs w:val="21"/>
          <w:lang w:val="en-US" w:eastAsia="zh-CN"/>
        </w:rPr>
        <w:t xml:space="preserve"> 12</w:t>
      </w:r>
      <w:r>
        <w:rPr>
          <w:rFonts w:hint="eastAsia" w:ascii="宋体" w:hAnsi="宋体"/>
          <w:iCs/>
          <w:color w:val="0C0C0C" w:themeColor="text1" w:themeTint="F2"/>
          <w:sz w:val="21"/>
          <w:szCs w:val="21"/>
        </w:rPr>
        <w:t>月</w:t>
      </w:r>
      <w:r>
        <w:rPr>
          <w:rFonts w:hint="eastAsia" w:ascii="宋体" w:hAnsi="宋体"/>
          <w:iCs/>
          <w:color w:val="0C0C0C" w:themeColor="text1" w:themeTint="F2"/>
          <w:sz w:val="21"/>
          <w:szCs w:val="21"/>
          <w:lang w:val="en-US" w:eastAsia="zh-CN"/>
        </w:rPr>
        <w:t>14</w:t>
      </w:r>
      <w:r>
        <w:rPr>
          <w:rFonts w:hint="eastAsia" w:ascii="宋体" w:hAnsi="宋体"/>
          <w:iCs/>
          <w:color w:val="0C0C0C" w:themeColor="text1" w:themeTint="F2"/>
          <w:sz w:val="21"/>
          <w:szCs w:val="21"/>
        </w:rPr>
        <w:t>日至2017年</w:t>
      </w:r>
      <w:r>
        <w:rPr>
          <w:rFonts w:hint="eastAsia" w:hAnsi="宋体"/>
          <w:iCs/>
          <w:color w:val="0C0C0C" w:themeColor="text1" w:themeTint="F2"/>
          <w:sz w:val="21"/>
          <w:szCs w:val="21"/>
          <w:lang w:val="en-US" w:eastAsia="zh-CN"/>
        </w:rPr>
        <w:t>12</w:t>
      </w:r>
      <w:r>
        <w:rPr>
          <w:rFonts w:hint="eastAsia" w:ascii="宋体" w:hAnsi="宋体"/>
          <w:iCs/>
          <w:color w:val="0C0C0C" w:themeColor="text1" w:themeTint="F2"/>
          <w:sz w:val="21"/>
          <w:szCs w:val="21"/>
        </w:rPr>
        <w:t>月</w:t>
      </w:r>
      <w:r>
        <w:rPr>
          <w:rFonts w:hint="eastAsia" w:ascii="宋体" w:hAnsi="宋体"/>
          <w:iCs/>
          <w:color w:val="0C0C0C" w:themeColor="text1" w:themeTint="F2"/>
          <w:sz w:val="21"/>
          <w:szCs w:val="21"/>
          <w:lang w:val="en-US" w:eastAsia="zh-CN"/>
        </w:rPr>
        <w:t>19</w:t>
      </w:r>
      <w:r>
        <w:rPr>
          <w:rFonts w:hint="eastAsia" w:ascii="宋体" w:hAnsi="宋体"/>
          <w:iCs/>
          <w:color w:val="0C0C0C" w:themeColor="text1" w:themeTint="F2"/>
          <w:sz w:val="21"/>
          <w:szCs w:val="21"/>
        </w:rPr>
        <w:t>日，节</w:t>
      </w:r>
      <w:r>
        <w:rPr>
          <w:rFonts w:hint="eastAsia" w:ascii="宋体" w:hAnsi="宋体"/>
          <w:iCs/>
          <w:sz w:val="21"/>
          <w:szCs w:val="21"/>
        </w:rPr>
        <w:t>假日除</w:t>
      </w:r>
      <w:r>
        <w:rPr>
          <w:rFonts w:hint="eastAsia"/>
          <w:sz w:val="21"/>
          <w:szCs w:val="21"/>
        </w:rPr>
        <w:t>外（北京时间，下同）</w:t>
      </w:r>
      <w:r>
        <w:rPr>
          <w:rFonts w:hint="eastAsia"/>
          <w:sz w:val="21"/>
          <w:szCs w:val="21"/>
          <w:lang w:eastAsia="zh-CN"/>
        </w:rPr>
        <w:t>，</w:t>
      </w:r>
      <w:r>
        <w:rPr>
          <w:rFonts w:hint="eastAsia"/>
          <w:sz w:val="21"/>
          <w:szCs w:val="21"/>
        </w:rPr>
        <w:t>凡被确定参加竞争性谈判采购活动的供应商，</w:t>
      </w:r>
      <w:r>
        <w:rPr>
          <w:rFonts w:hint="eastAsia"/>
          <w:sz w:val="21"/>
          <w:szCs w:val="21"/>
          <w:lang w:val="en-US" w:eastAsia="zh-CN"/>
        </w:rPr>
        <w:t>必须办理数字ca,投标人在网上注册应对所提供的证件和证明材料的真实性承担法律责任。</w:t>
      </w:r>
      <w:r>
        <w:rPr>
          <w:rFonts w:hint="eastAsia"/>
          <w:sz w:val="21"/>
          <w:szCs w:val="21"/>
          <w:lang w:val="en-US" w:eastAsia="zh-CN"/>
        </w:rPr>
        <w:br w:type="textWrapping"/>
      </w:r>
      <w:r>
        <w:rPr>
          <w:rFonts w:hint="eastAsia"/>
          <w:sz w:val="21"/>
          <w:szCs w:val="21"/>
          <w:lang w:val="en-US" w:eastAsia="zh-CN"/>
        </w:rPr>
        <w:t>     2、本次招标只支持网上支付标书费报名并从系统中下载谈判文件。</w:t>
      </w:r>
      <w:r>
        <w:rPr>
          <w:rFonts w:hint="eastAsia"/>
          <w:sz w:val="21"/>
          <w:szCs w:val="21"/>
          <w:lang w:val="en-US" w:eastAsia="zh-CN"/>
        </w:rPr>
        <w:br w:type="textWrapping"/>
      </w:r>
      <w:r>
        <w:rPr>
          <w:rFonts w:hint="eastAsia"/>
          <w:sz w:val="21"/>
          <w:szCs w:val="21"/>
          <w:lang w:val="en-US" w:eastAsia="zh-CN"/>
        </w:rPr>
        <w:t xml:space="preserve">       联系电话：0730-8181091   岳阳市公共资源交易中心</w:t>
      </w:r>
      <w:r>
        <w:rPr>
          <w:rFonts w:hint="eastAsia"/>
          <w:sz w:val="21"/>
          <w:szCs w:val="21"/>
          <w:lang w:val="en-US" w:eastAsia="zh-CN"/>
        </w:rPr>
        <w:br w:type="textWrapping"/>
      </w:r>
      <w:r>
        <w:rPr>
          <w:rFonts w:hint="eastAsia"/>
          <w:sz w:val="21"/>
          <w:szCs w:val="21"/>
          <w:lang w:val="en-US" w:eastAsia="zh-CN"/>
        </w:rPr>
        <w:t>     3、谈判文件每份售价：人民币400元，</w:t>
      </w:r>
      <w:r>
        <w:rPr>
          <w:rFonts w:hint="eastAsia"/>
          <w:sz w:val="21"/>
          <w:szCs w:val="21"/>
        </w:rPr>
        <w:t>售后不退</w:t>
      </w:r>
      <w:r>
        <w:rPr>
          <w:rFonts w:hint="eastAsia"/>
          <w:sz w:val="21"/>
          <w:szCs w:val="21"/>
          <w:lang w:eastAsia="zh-CN"/>
        </w:rPr>
        <w:t>，</w:t>
      </w:r>
      <w:r>
        <w:rPr>
          <w:rFonts w:hint="eastAsia"/>
          <w:sz w:val="21"/>
          <w:szCs w:val="21"/>
          <w:lang w:val="en-US" w:eastAsia="zh-CN"/>
        </w:rPr>
        <w:t>只支持网银支付。本项目只有网上购买标书，投标人才有资格生成投标保证金账号，缴纳保证金。</w:t>
      </w:r>
      <w:r>
        <w:rPr>
          <w:rFonts w:hint="eastAsia"/>
          <w:sz w:val="21"/>
          <w:szCs w:val="21"/>
          <w:lang w:val="en-US" w:eastAsia="zh-CN"/>
        </w:rPr>
        <w:br w:type="textWrapping"/>
      </w:r>
      <w:r>
        <w:rPr>
          <w:rFonts w:hint="eastAsia"/>
          <w:sz w:val="21"/>
          <w:szCs w:val="21"/>
          <w:lang w:val="en-US" w:eastAsia="zh-CN"/>
        </w:rPr>
        <w:t>     4、报名及谈判文件提供下载期限：2017年12月14日至2017年12月19日， 投标人应自行在岳阳市公共资源交易中心网上下载/获取谈判文件，恕不另行通知。投标人应及时关注网上相关招标信息，如有遗漏（包括但不限于文件未下载或下载不完整）招标人概不负责，所造成的投标失败或损失由投标人自行负责。</w:t>
      </w:r>
    </w:p>
    <w:p>
      <w:pPr>
        <w:spacing w:line="360" w:lineRule="auto"/>
        <w:ind w:firstLine="420" w:firstLineChars="200"/>
        <w:rPr>
          <w:sz w:val="21"/>
          <w:szCs w:val="21"/>
        </w:rPr>
      </w:pPr>
      <w:r>
        <w:rPr>
          <w:rFonts w:hint="eastAsia"/>
          <w:sz w:val="21"/>
          <w:szCs w:val="21"/>
          <w:lang w:val="en-US" w:eastAsia="zh-CN"/>
        </w:rPr>
        <w:t>5</w:t>
      </w:r>
      <w:r>
        <w:rPr>
          <w:rFonts w:hint="eastAsia"/>
          <w:sz w:val="21"/>
          <w:szCs w:val="21"/>
        </w:rPr>
        <w:t>、提交首次响应文件的截止时间</w:t>
      </w:r>
      <w:r>
        <w:rPr>
          <w:rFonts w:hint="eastAsia"/>
          <w:color w:val="0C0C0C" w:themeColor="text1" w:themeTint="F2"/>
          <w:sz w:val="21"/>
          <w:szCs w:val="21"/>
        </w:rPr>
        <w:t>为</w:t>
      </w:r>
      <w:r>
        <w:rPr>
          <w:rFonts w:hint="eastAsia"/>
          <w:color w:val="0C0C0C" w:themeColor="text1" w:themeTint="F2"/>
          <w:sz w:val="21"/>
          <w:szCs w:val="21"/>
          <w:u w:val="single"/>
        </w:rPr>
        <w:t>2017</w:t>
      </w:r>
      <w:r>
        <w:rPr>
          <w:rFonts w:hint="eastAsia"/>
          <w:color w:val="0C0C0C" w:themeColor="text1" w:themeTint="F2"/>
          <w:sz w:val="21"/>
          <w:szCs w:val="21"/>
        </w:rPr>
        <w:t>年</w:t>
      </w:r>
      <w:r>
        <w:rPr>
          <w:rFonts w:hint="eastAsia"/>
          <w:color w:val="0C0C0C" w:themeColor="text1" w:themeTint="F2"/>
          <w:sz w:val="21"/>
          <w:szCs w:val="21"/>
          <w:u w:val="single"/>
          <w:lang w:val="en-US" w:eastAsia="zh-CN"/>
        </w:rPr>
        <w:t>12</w:t>
      </w:r>
      <w:r>
        <w:rPr>
          <w:rFonts w:hint="eastAsia"/>
          <w:color w:val="0C0C0C" w:themeColor="text1" w:themeTint="F2"/>
          <w:sz w:val="21"/>
          <w:szCs w:val="21"/>
        </w:rPr>
        <w:t>月</w:t>
      </w:r>
      <w:r>
        <w:rPr>
          <w:rFonts w:hint="eastAsia"/>
          <w:color w:val="0C0C0C" w:themeColor="text1" w:themeTint="F2"/>
          <w:sz w:val="21"/>
          <w:szCs w:val="21"/>
          <w:u w:val="single"/>
          <w:lang w:val="en-US" w:eastAsia="zh-CN"/>
        </w:rPr>
        <w:t>25</w:t>
      </w:r>
      <w:r>
        <w:rPr>
          <w:rFonts w:hint="eastAsia"/>
          <w:color w:val="0C0C0C" w:themeColor="text1" w:themeTint="F2"/>
          <w:sz w:val="21"/>
          <w:szCs w:val="21"/>
        </w:rPr>
        <w:t>日</w:t>
      </w:r>
      <w:r>
        <w:rPr>
          <w:rFonts w:hint="eastAsia"/>
          <w:color w:val="0C0C0C" w:themeColor="text1" w:themeTint="F2"/>
          <w:sz w:val="21"/>
          <w:szCs w:val="21"/>
          <w:u w:val="single"/>
          <w:lang w:val="en-US" w:eastAsia="zh-CN"/>
        </w:rPr>
        <w:t>9</w:t>
      </w:r>
      <w:r>
        <w:rPr>
          <w:rFonts w:hint="eastAsia"/>
          <w:color w:val="0C0C0C" w:themeColor="text1" w:themeTint="F2"/>
          <w:sz w:val="21"/>
          <w:szCs w:val="21"/>
        </w:rPr>
        <w:t>时</w:t>
      </w:r>
      <w:r>
        <w:rPr>
          <w:rFonts w:hint="eastAsia"/>
          <w:color w:val="0C0C0C" w:themeColor="text1" w:themeTint="F2"/>
          <w:sz w:val="21"/>
          <w:szCs w:val="21"/>
          <w:u w:val="single"/>
          <w:lang w:val="en-US" w:eastAsia="zh-CN"/>
        </w:rPr>
        <w:t>30</w:t>
      </w:r>
      <w:r>
        <w:rPr>
          <w:rFonts w:hint="eastAsia"/>
          <w:color w:val="0C0C0C" w:themeColor="text1" w:themeTint="F2"/>
          <w:sz w:val="21"/>
          <w:szCs w:val="21"/>
        </w:rPr>
        <w:t>分（北京</w:t>
      </w:r>
      <w:r>
        <w:rPr>
          <w:rFonts w:hint="eastAsia"/>
          <w:sz w:val="21"/>
          <w:szCs w:val="21"/>
        </w:rPr>
        <w:t>时间），地</w:t>
      </w:r>
      <w:r>
        <w:rPr>
          <w:rFonts w:hint="eastAsia"/>
          <w:color w:val="0C0C0C" w:themeColor="text1" w:themeTint="F2"/>
          <w:sz w:val="21"/>
          <w:szCs w:val="21"/>
        </w:rPr>
        <w:t>点为</w:t>
      </w:r>
      <w:r>
        <w:rPr>
          <w:rFonts w:hint="eastAsia"/>
          <w:color w:val="0C0C0C" w:themeColor="text1" w:themeTint="F2"/>
          <w:sz w:val="21"/>
          <w:szCs w:val="21"/>
          <w:u w:val="single"/>
        </w:rPr>
        <w:t xml:space="preserve">  </w:t>
      </w:r>
      <w:r>
        <w:rPr>
          <w:rFonts w:hint="eastAsia"/>
          <w:color w:val="0C0C0C" w:themeColor="text1" w:themeTint="F2"/>
          <w:sz w:val="21"/>
          <w:szCs w:val="21"/>
          <w:u w:val="single"/>
          <w:lang w:eastAsia="zh-CN"/>
        </w:rPr>
        <w:t>岳阳市</w:t>
      </w:r>
      <w:r>
        <w:rPr>
          <w:rFonts w:hint="eastAsia"/>
          <w:color w:val="0C0C0C" w:themeColor="text1" w:themeTint="F2"/>
          <w:sz w:val="21"/>
          <w:szCs w:val="21"/>
          <w:u w:val="single"/>
        </w:rPr>
        <w:t xml:space="preserve">公共资源交易中心（市五里牌政务中心）四楼开标室 </w:t>
      </w:r>
      <w:r>
        <w:rPr>
          <w:rFonts w:hint="eastAsia"/>
          <w:color w:val="0C0C0C" w:themeColor="text1" w:themeTint="F2"/>
          <w:sz w:val="21"/>
          <w:szCs w:val="21"/>
          <w:u w:val="none"/>
        </w:rPr>
        <w:t>。</w:t>
      </w:r>
    </w:p>
    <w:p>
      <w:pPr>
        <w:spacing w:line="360" w:lineRule="auto"/>
        <w:ind w:firstLine="420" w:firstLineChars="200"/>
        <w:rPr>
          <w:sz w:val="21"/>
          <w:szCs w:val="21"/>
        </w:rPr>
      </w:pPr>
      <w:r>
        <w:rPr>
          <w:rFonts w:hint="eastAsia"/>
          <w:sz w:val="21"/>
          <w:szCs w:val="21"/>
          <w:lang w:val="en-US" w:eastAsia="zh-CN"/>
        </w:rPr>
        <w:t>6</w:t>
      </w:r>
      <w:r>
        <w:rPr>
          <w:rFonts w:hint="eastAsia"/>
          <w:sz w:val="21"/>
          <w:szCs w:val="21"/>
        </w:rPr>
        <w:t>、逾期送达或者不按谈判文件要求密封或者不按谈判文件的要求提供保证金的响应文件，采购人或采购代理机构将拒绝接收。</w:t>
      </w:r>
    </w:p>
    <w:p>
      <w:pPr>
        <w:spacing w:line="360" w:lineRule="auto"/>
        <w:ind w:firstLine="482"/>
        <w:rPr>
          <w:sz w:val="21"/>
          <w:szCs w:val="21"/>
        </w:rPr>
      </w:pPr>
      <w:r>
        <w:rPr>
          <w:rFonts w:hint="eastAsia"/>
          <w:sz w:val="21"/>
          <w:szCs w:val="21"/>
          <w:lang w:val="en-US" w:eastAsia="zh-CN"/>
        </w:rPr>
        <w:t>7</w:t>
      </w:r>
      <w:r>
        <w:rPr>
          <w:rFonts w:hint="eastAsia"/>
          <w:sz w:val="21"/>
          <w:szCs w:val="21"/>
        </w:rPr>
        <w:t>、采购人同意采购代理机构按照有关规定向本项目成交供应商收取代理服务费，具体收费标准见“谈判须知前附表”。</w:t>
      </w:r>
    </w:p>
    <w:p>
      <w:pPr>
        <w:spacing w:line="360" w:lineRule="auto"/>
        <w:ind w:firstLine="482"/>
        <w:rPr>
          <w:sz w:val="21"/>
          <w:szCs w:val="21"/>
        </w:rPr>
      </w:pPr>
      <w:r>
        <w:rPr>
          <w:rFonts w:hint="eastAsia"/>
          <w:sz w:val="21"/>
          <w:szCs w:val="21"/>
          <w:lang w:val="en-US" w:eastAsia="zh-CN"/>
        </w:rPr>
        <w:t>8</w:t>
      </w:r>
      <w:r>
        <w:rPr>
          <w:rFonts w:hint="eastAsia"/>
          <w:sz w:val="21"/>
          <w:szCs w:val="21"/>
        </w:rPr>
        <w:t>、你单位收到本通知后，</w:t>
      </w:r>
      <w:r>
        <w:rPr>
          <w:rFonts w:hint="eastAsia"/>
          <w:color w:val="0C0C0C" w:themeColor="text1" w:themeTint="F2"/>
          <w:sz w:val="21"/>
          <w:szCs w:val="21"/>
        </w:rPr>
        <w:t>请于</w:t>
      </w:r>
      <w:r>
        <w:rPr>
          <w:rFonts w:hint="eastAsia"/>
          <w:color w:val="0C0C0C" w:themeColor="text1" w:themeTint="F2"/>
          <w:sz w:val="21"/>
          <w:szCs w:val="21"/>
          <w:u w:val="single"/>
        </w:rPr>
        <w:t>2017</w:t>
      </w:r>
      <w:r>
        <w:rPr>
          <w:rFonts w:hint="eastAsia"/>
          <w:color w:val="0C0C0C" w:themeColor="text1" w:themeTint="F2"/>
          <w:sz w:val="21"/>
          <w:szCs w:val="21"/>
        </w:rPr>
        <w:t>年</w:t>
      </w:r>
      <w:r>
        <w:rPr>
          <w:rFonts w:hint="eastAsia"/>
          <w:color w:val="0C0C0C" w:themeColor="text1" w:themeTint="F2"/>
          <w:sz w:val="21"/>
          <w:szCs w:val="21"/>
          <w:u w:val="single"/>
          <w:lang w:val="en-US" w:eastAsia="zh-CN"/>
        </w:rPr>
        <w:t>12</w:t>
      </w:r>
      <w:r>
        <w:rPr>
          <w:rFonts w:hint="eastAsia"/>
          <w:color w:val="0C0C0C" w:themeColor="text1" w:themeTint="F2"/>
          <w:sz w:val="21"/>
          <w:szCs w:val="21"/>
        </w:rPr>
        <w:t>月</w:t>
      </w:r>
      <w:r>
        <w:rPr>
          <w:rFonts w:hint="eastAsia"/>
          <w:color w:val="0C0C0C" w:themeColor="text1" w:themeTint="F2"/>
          <w:sz w:val="21"/>
          <w:szCs w:val="21"/>
          <w:u w:val="single"/>
          <w:lang w:val="en-US" w:eastAsia="zh-CN"/>
        </w:rPr>
        <w:t>22</w:t>
      </w:r>
      <w:r>
        <w:rPr>
          <w:rFonts w:hint="eastAsia"/>
          <w:color w:val="0C0C0C" w:themeColor="text1" w:themeTint="F2"/>
          <w:sz w:val="21"/>
          <w:szCs w:val="21"/>
        </w:rPr>
        <w:t>日</w:t>
      </w:r>
      <w:r>
        <w:rPr>
          <w:rFonts w:hint="eastAsia"/>
          <w:color w:val="0C0C0C" w:themeColor="text1" w:themeTint="F2"/>
          <w:sz w:val="21"/>
          <w:szCs w:val="21"/>
          <w:u w:val="single"/>
        </w:rPr>
        <w:t>17</w:t>
      </w:r>
      <w:r>
        <w:rPr>
          <w:rFonts w:hint="eastAsia"/>
          <w:color w:val="0C0C0C" w:themeColor="text1" w:themeTint="F2"/>
          <w:sz w:val="21"/>
          <w:szCs w:val="21"/>
        </w:rPr>
        <w:t>时</w:t>
      </w:r>
      <w:r>
        <w:rPr>
          <w:rFonts w:hint="eastAsia"/>
          <w:sz w:val="21"/>
          <w:szCs w:val="21"/>
        </w:rPr>
        <w:t>前来函以确认是否参加谈判。</w:t>
      </w:r>
    </w:p>
    <w:p>
      <w:pPr>
        <w:spacing w:line="360" w:lineRule="auto"/>
        <w:ind w:firstLine="482"/>
        <w:rPr>
          <w:sz w:val="21"/>
          <w:szCs w:val="21"/>
        </w:rPr>
      </w:pPr>
      <w:r>
        <w:rPr>
          <w:rFonts w:hint="eastAsia"/>
          <w:sz w:val="21"/>
          <w:szCs w:val="21"/>
          <w:lang w:val="en-US" w:eastAsia="zh-CN"/>
        </w:rPr>
        <w:t>9</w:t>
      </w:r>
      <w:r>
        <w:rPr>
          <w:rFonts w:hint="eastAsia"/>
          <w:sz w:val="21"/>
          <w:szCs w:val="21"/>
        </w:rPr>
        <w:t>、联系方式：</w:t>
      </w:r>
    </w:p>
    <w:p>
      <w:pPr>
        <w:spacing w:line="360" w:lineRule="auto"/>
        <w:ind w:firstLine="482"/>
        <w:rPr>
          <w:sz w:val="21"/>
          <w:szCs w:val="21"/>
          <w:u w:val="single"/>
        </w:rPr>
      </w:pPr>
      <w:r>
        <w:rPr>
          <w:rFonts w:hint="eastAsia"/>
          <w:sz w:val="21"/>
          <w:szCs w:val="21"/>
        </w:rPr>
        <w:t>采购人：</w:t>
      </w:r>
      <w:r>
        <w:rPr>
          <w:rFonts w:hint="eastAsia"/>
          <w:sz w:val="21"/>
          <w:szCs w:val="21"/>
          <w:u w:val="single"/>
          <w:lang w:val="en-US" w:eastAsia="zh-CN"/>
        </w:rPr>
        <w:t xml:space="preserve">       </w:t>
      </w:r>
      <w:r>
        <w:rPr>
          <w:rFonts w:hint="eastAsia" w:ascii="宋体" w:hAnsi="宋体"/>
          <w:iCs/>
          <w:sz w:val="21"/>
          <w:szCs w:val="21"/>
          <w:u w:val="single"/>
          <w:lang w:eastAsia="zh-CN"/>
        </w:rPr>
        <w:t>华容县农业局</w:t>
      </w:r>
      <w:r>
        <w:rPr>
          <w:rFonts w:hint="eastAsia" w:ascii="宋体" w:hAnsi="宋体"/>
          <w:iCs/>
          <w:sz w:val="21"/>
          <w:szCs w:val="21"/>
          <w:u w:val="single"/>
          <w:lang w:val="en-US" w:eastAsia="zh-CN"/>
        </w:rPr>
        <w:t xml:space="preserve">       </w:t>
      </w:r>
    </w:p>
    <w:p>
      <w:pPr>
        <w:spacing w:line="360" w:lineRule="auto"/>
        <w:ind w:firstLine="482"/>
        <w:rPr>
          <w:sz w:val="21"/>
          <w:szCs w:val="21"/>
          <w:u w:val="single"/>
        </w:rPr>
      </w:pPr>
      <w:r>
        <w:rPr>
          <w:rFonts w:hint="eastAsia"/>
          <w:sz w:val="21"/>
          <w:szCs w:val="21"/>
        </w:rPr>
        <w:t>联系人：</w:t>
      </w:r>
      <w:r>
        <w:rPr>
          <w:rFonts w:hint="eastAsia"/>
          <w:sz w:val="21"/>
          <w:szCs w:val="21"/>
          <w:u w:val="single"/>
        </w:rPr>
        <w:t xml:space="preserve">    </w:t>
      </w:r>
      <w:r>
        <w:rPr>
          <w:rFonts w:hint="eastAsia" w:ascii="宋体" w:hAnsi="宋体"/>
          <w:iCs/>
          <w:sz w:val="21"/>
          <w:szCs w:val="21"/>
          <w:u w:val="single"/>
        </w:rPr>
        <w:t xml:space="preserve"> </w:t>
      </w:r>
      <w:r>
        <w:rPr>
          <w:rFonts w:hint="eastAsia" w:ascii="宋体" w:hAnsi="宋体"/>
          <w:iCs/>
          <w:sz w:val="21"/>
          <w:szCs w:val="21"/>
          <w:u w:val="single"/>
          <w:lang w:val="en-US" w:eastAsia="zh-CN"/>
        </w:rPr>
        <w:t xml:space="preserve">      陈辉 </w:t>
      </w:r>
      <w:r>
        <w:rPr>
          <w:rFonts w:hint="eastAsia" w:ascii="宋体" w:hAnsi="宋体"/>
          <w:iCs/>
          <w:sz w:val="21"/>
          <w:szCs w:val="21"/>
          <w:u w:val="single"/>
        </w:rPr>
        <w:t xml:space="preserve">    </w:t>
      </w:r>
      <w:r>
        <w:rPr>
          <w:rFonts w:hint="eastAsia"/>
          <w:sz w:val="21"/>
          <w:szCs w:val="21"/>
          <w:u w:val="single"/>
        </w:rPr>
        <w:t xml:space="preserve">     </w:t>
      </w:r>
      <w:r>
        <w:rPr>
          <w:rFonts w:hint="eastAsia"/>
          <w:sz w:val="21"/>
          <w:szCs w:val="21"/>
          <w:u w:val="single"/>
          <w:lang w:val="en-US" w:eastAsia="zh-CN"/>
        </w:rPr>
        <w:t xml:space="preserve"> </w:t>
      </w:r>
    </w:p>
    <w:p>
      <w:pPr>
        <w:spacing w:line="360" w:lineRule="auto"/>
        <w:ind w:firstLine="482"/>
        <w:rPr>
          <w:sz w:val="21"/>
          <w:szCs w:val="21"/>
          <w:u w:val="single"/>
        </w:rPr>
      </w:pPr>
      <w:r>
        <w:rPr>
          <w:rFonts w:hint="eastAsia"/>
          <w:sz w:val="21"/>
          <w:szCs w:val="21"/>
        </w:rPr>
        <w:t>电  话：</w:t>
      </w:r>
      <w:r>
        <w:rPr>
          <w:rFonts w:hint="eastAsia"/>
          <w:sz w:val="21"/>
          <w:szCs w:val="21"/>
          <w:u w:val="single"/>
        </w:rPr>
        <w:t xml:space="preserve">    </w:t>
      </w:r>
      <w:r>
        <w:rPr>
          <w:rFonts w:hint="eastAsia" w:ascii="宋体" w:hAnsi="宋体"/>
          <w:iCs/>
          <w:sz w:val="21"/>
          <w:szCs w:val="21"/>
          <w:u w:val="single"/>
        </w:rPr>
        <w:t xml:space="preserve">  </w:t>
      </w:r>
      <w:r>
        <w:rPr>
          <w:rFonts w:hint="eastAsia" w:ascii="宋体" w:hAnsi="宋体"/>
          <w:iCs/>
          <w:sz w:val="21"/>
          <w:szCs w:val="21"/>
          <w:u w:val="single"/>
          <w:lang w:val="en-US" w:eastAsia="zh-CN"/>
        </w:rPr>
        <w:t xml:space="preserve">   17373070716   </w:t>
      </w:r>
      <w:r>
        <w:rPr>
          <w:rFonts w:hint="eastAsia" w:ascii="宋体" w:hAnsi="宋体"/>
          <w:iCs/>
          <w:sz w:val="21"/>
          <w:szCs w:val="21"/>
          <w:u w:val="single"/>
        </w:rPr>
        <w:t xml:space="preserve">  </w:t>
      </w:r>
      <w:r>
        <w:rPr>
          <w:rFonts w:hint="eastAsia"/>
          <w:sz w:val="21"/>
          <w:szCs w:val="21"/>
          <w:u w:val="single"/>
        </w:rPr>
        <w:t xml:space="preserve">   </w:t>
      </w:r>
    </w:p>
    <w:p>
      <w:pPr>
        <w:spacing w:line="360" w:lineRule="auto"/>
        <w:ind w:firstLine="482"/>
        <w:rPr>
          <w:sz w:val="21"/>
          <w:szCs w:val="21"/>
          <w:u w:val="single"/>
        </w:rPr>
      </w:pPr>
      <w:r>
        <w:rPr>
          <w:rFonts w:hint="eastAsia"/>
          <w:sz w:val="21"/>
          <w:szCs w:val="21"/>
        </w:rPr>
        <w:t>地  址：</w:t>
      </w:r>
      <w:r>
        <w:rPr>
          <w:rFonts w:hint="eastAsia"/>
          <w:sz w:val="21"/>
          <w:szCs w:val="21"/>
          <w:u w:val="single"/>
          <w:lang w:val="en-US" w:eastAsia="zh-CN"/>
        </w:rPr>
        <w:t xml:space="preserve">       </w:t>
      </w:r>
      <w:r>
        <w:rPr>
          <w:rFonts w:hint="eastAsia" w:ascii="宋体" w:hAnsi="宋体"/>
          <w:iCs/>
          <w:sz w:val="21"/>
          <w:szCs w:val="21"/>
          <w:u w:val="single"/>
          <w:lang w:eastAsia="zh-CN"/>
        </w:rPr>
        <w:t>华容县农业局</w:t>
      </w:r>
      <w:r>
        <w:rPr>
          <w:rFonts w:hint="eastAsia" w:ascii="宋体" w:hAnsi="宋体"/>
          <w:iCs/>
          <w:sz w:val="21"/>
          <w:szCs w:val="21"/>
          <w:u w:val="single"/>
          <w:lang w:val="en-US" w:eastAsia="zh-CN"/>
        </w:rPr>
        <w:t xml:space="preserve">       </w:t>
      </w:r>
    </w:p>
    <w:p>
      <w:pPr>
        <w:spacing w:line="360" w:lineRule="auto"/>
        <w:ind w:firstLine="482"/>
        <w:rPr>
          <w:sz w:val="21"/>
          <w:szCs w:val="21"/>
          <w:u w:val="single"/>
        </w:rPr>
      </w:pPr>
      <w:r>
        <w:rPr>
          <w:rFonts w:hint="eastAsia"/>
          <w:sz w:val="21"/>
          <w:szCs w:val="21"/>
        </w:rPr>
        <w:t>采购代理机构：</w:t>
      </w:r>
      <w:r>
        <w:rPr>
          <w:rFonts w:hint="eastAsia"/>
          <w:sz w:val="21"/>
          <w:szCs w:val="21"/>
          <w:u w:val="single"/>
          <w:lang w:val="en-US" w:eastAsia="zh-CN"/>
        </w:rPr>
        <w:t xml:space="preserve">   </w:t>
      </w:r>
      <w:r>
        <w:rPr>
          <w:rFonts w:hint="eastAsia" w:ascii="宋体" w:hAnsi="宋体"/>
          <w:iCs/>
          <w:u w:val="single"/>
        </w:rPr>
        <w:t>湖南</w:t>
      </w:r>
      <w:r>
        <w:rPr>
          <w:rFonts w:hint="eastAsia" w:ascii="宋体" w:hAnsi="宋体"/>
          <w:iCs/>
          <w:u w:val="single"/>
          <w:lang w:eastAsia="zh-CN"/>
        </w:rPr>
        <w:t>省湘咨工程咨询有限责任</w:t>
      </w:r>
      <w:r>
        <w:rPr>
          <w:rFonts w:hint="eastAsia" w:ascii="宋体" w:hAnsi="宋体"/>
          <w:iCs/>
          <w:u w:val="single"/>
        </w:rPr>
        <w:t>公司</w:t>
      </w:r>
      <w:r>
        <w:rPr>
          <w:rFonts w:hint="eastAsia" w:ascii="宋体" w:hAnsi="宋体"/>
          <w:iCs/>
          <w:u w:val="single"/>
          <w:lang w:val="en-US" w:eastAsia="zh-CN"/>
        </w:rPr>
        <w:t xml:space="preserve">  </w:t>
      </w:r>
    </w:p>
    <w:p>
      <w:pPr>
        <w:spacing w:line="360" w:lineRule="auto"/>
        <w:ind w:firstLine="482"/>
        <w:rPr>
          <w:sz w:val="21"/>
          <w:szCs w:val="21"/>
          <w:u w:val="single"/>
        </w:rPr>
      </w:pPr>
      <w:r>
        <w:rPr>
          <w:rFonts w:hint="eastAsia"/>
          <w:sz w:val="21"/>
          <w:szCs w:val="21"/>
        </w:rPr>
        <w:t>联系人：</w:t>
      </w:r>
      <w:r>
        <w:rPr>
          <w:rFonts w:hint="eastAsia"/>
          <w:sz w:val="21"/>
          <w:szCs w:val="21"/>
          <w:u w:val="single"/>
        </w:rPr>
        <w:t xml:space="preserve">     </w:t>
      </w:r>
      <w:r>
        <w:rPr>
          <w:rFonts w:hint="eastAsia"/>
          <w:sz w:val="21"/>
          <w:szCs w:val="21"/>
          <w:u w:val="single"/>
          <w:lang w:val="en-US" w:eastAsia="zh-CN"/>
        </w:rPr>
        <w:t xml:space="preserve">  </w:t>
      </w:r>
      <w:r>
        <w:rPr>
          <w:rFonts w:hint="eastAsia"/>
          <w:sz w:val="21"/>
          <w:szCs w:val="21"/>
          <w:u w:val="single"/>
        </w:rPr>
        <w:t xml:space="preserve"> </w:t>
      </w:r>
      <w:r>
        <w:rPr>
          <w:rFonts w:hint="eastAsia"/>
          <w:sz w:val="21"/>
          <w:szCs w:val="21"/>
          <w:u w:val="single"/>
          <w:lang w:eastAsia="zh-CN"/>
        </w:rPr>
        <w:t>方兴</w:t>
      </w:r>
      <w:r>
        <w:rPr>
          <w:rFonts w:hint="eastAsia"/>
          <w:sz w:val="21"/>
          <w:szCs w:val="21"/>
          <w:u w:val="single"/>
        </w:rPr>
        <w:t xml:space="preserve">  </w:t>
      </w:r>
      <w:r>
        <w:rPr>
          <w:rFonts w:hint="eastAsia"/>
          <w:sz w:val="21"/>
          <w:szCs w:val="21"/>
          <w:u w:val="single"/>
          <w:lang w:val="en-US" w:eastAsia="zh-CN"/>
        </w:rPr>
        <w:t xml:space="preserve">  </w:t>
      </w:r>
      <w:r>
        <w:rPr>
          <w:rFonts w:hint="eastAsia"/>
          <w:sz w:val="21"/>
          <w:szCs w:val="21"/>
          <w:u w:val="single"/>
        </w:rPr>
        <w:t xml:space="preserve">    </w:t>
      </w:r>
      <w:r>
        <w:rPr>
          <w:rFonts w:hint="eastAsia"/>
          <w:sz w:val="21"/>
          <w:szCs w:val="21"/>
          <w:u w:val="single"/>
          <w:lang w:val="en-US" w:eastAsia="zh-CN"/>
        </w:rPr>
        <w:t xml:space="preserve"> </w:t>
      </w:r>
      <w:r>
        <w:rPr>
          <w:rFonts w:hint="eastAsia"/>
          <w:sz w:val="21"/>
          <w:szCs w:val="21"/>
          <w:u w:val="single"/>
        </w:rPr>
        <w:t xml:space="preserve"> </w:t>
      </w:r>
    </w:p>
    <w:p>
      <w:pPr>
        <w:spacing w:line="360" w:lineRule="auto"/>
        <w:ind w:firstLine="482"/>
        <w:rPr>
          <w:sz w:val="21"/>
          <w:szCs w:val="21"/>
          <w:u w:val="single"/>
        </w:rPr>
      </w:pPr>
      <w:r>
        <w:rPr>
          <w:rFonts w:hint="eastAsia"/>
          <w:sz w:val="21"/>
          <w:szCs w:val="21"/>
        </w:rPr>
        <w:t>电  话：</w:t>
      </w:r>
      <w:r>
        <w:rPr>
          <w:rFonts w:hint="eastAsia"/>
          <w:sz w:val="21"/>
          <w:szCs w:val="21"/>
          <w:u w:val="single"/>
        </w:rPr>
        <w:t xml:space="preserve">   </w:t>
      </w:r>
      <w:r>
        <w:rPr>
          <w:rFonts w:hint="eastAsia"/>
          <w:sz w:val="21"/>
          <w:szCs w:val="21"/>
          <w:u w:val="single"/>
          <w:lang w:val="en-US" w:eastAsia="zh-CN"/>
        </w:rPr>
        <w:t xml:space="preserve">  </w:t>
      </w:r>
      <w:r>
        <w:rPr>
          <w:rFonts w:hint="eastAsia"/>
          <w:sz w:val="21"/>
          <w:szCs w:val="21"/>
          <w:u w:val="single"/>
        </w:rPr>
        <w:t>0730-8</w:t>
      </w:r>
      <w:r>
        <w:rPr>
          <w:rFonts w:hint="eastAsia"/>
          <w:sz w:val="21"/>
          <w:szCs w:val="21"/>
          <w:u w:val="single"/>
          <w:lang w:val="en-US" w:eastAsia="zh-CN"/>
        </w:rPr>
        <w:t xml:space="preserve">213558    </w:t>
      </w:r>
      <w:r>
        <w:rPr>
          <w:rFonts w:hint="eastAsia"/>
          <w:sz w:val="21"/>
          <w:szCs w:val="21"/>
          <w:u w:val="single"/>
        </w:rPr>
        <w:t xml:space="preserve"> </w:t>
      </w:r>
    </w:p>
    <w:p>
      <w:pPr>
        <w:spacing w:line="360" w:lineRule="auto"/>
        <w:ind w:firstLine="482"/>
        <w:rPr>
          <w:sz w:val="21"/>
          <w:szCs w:val="21"/>
          <w:u w:val="single"/>
        </w:rPr>
      </w:pPr>
      <w:r>
        <w:rPr>
          <w:rFonts w:hint="eastAsia"/>
          <w:sz w:val="21"/>
          <w:szCs w:val="21"/>
        </w:rPr>
        <w:t>地  址：</w:t>
      </w:r>
      <w:r>
        <w:rPr>
          <w:rFonts w:hint="eastAsia"/>
          <w:sz w:val="21"/>
          <w:szCs w:val="21"/>
          <w:u w:val="single"/>
          <w:lang w:val="en-US" w:eastAsia="zh-CN"/>
        </w:rPr>
        <w:t xml:space="preserve">    </w:t>
      </w:r>
      <w:r>
        <w:rPr>
          <w:rFonts w:hint="eastAsia"/>
          <w:color w:val="0C0C0C" w:themeColor="text1" w:themeTint="F2"/>
          <w:sz w:val="21"/>
          <w:szCs w:val="21"/>
          <w:u w:val="single"/>
          <w:lang w:eastAsia="zh-CN"/>
        </w:rPr>
        <w:t>岳阳市岳阳楼区建湘路古井社区综合办公楼三楼</w:t>
      </w:r>
      <w:r>
        <w:rPr>
          <w:rFonts w:hint="eastAsia"/>
          <w:color w:val="0C0C0C" w:themeColor="text1" w:themeTint="F2"/>
          <w:sz w:val="21"/>
          <w:szCs w:val="21"/>
          <w:u w:val="single"/>
          <w:lang w:val="en-US" w:eastAsia="zh-CN"/>
        </w:rPr>
        <w:t xml:space="preserve"> </w:t>
      </w:r>
      <w:r>
        <w:rPr>
          <w:rFonts w:hint="eastAsia"/>
          <w:sz w:val="21"/>
          <w:szCs w:val="21"/>
          <w:u w:val="single"/>
          <w:lang w:val="en-US" w:eastAsia="zh-CN"/>
        </w:rPr>
        <w:t xml:space="preserve">   </w:t>
      </w:r>
    </w:p>
    <w:p>
      <w:pPr>
        <w:spacing w:line="360" w:lineRule="auto"/>
        <w:ind w:firstLine="482"/>
        <w:rPr>
          <w:color w:val="0C0C0C" w:themeColor="text1" w:themeTint="F2"/>
          <w:sz w:val="21"/>
          <w:szCs w:val="21"/>
          <w:u w:val="single"/>
        </w:rPr>
      </w:pPr>
      <w:r>
        <w:rPr>
          <w:rFonts w:hint="eastAsia"/>
          <w:color w:val="0C0C0C" w:themeColor="text1" w:themeTint="F2"/>
          <w:sz w:val="21"/>
          <w:szCs w:val="21"/>
          <w:lang w:eastAsia="zh-CN"/>
        </w:rPr>
        <w:t>保证金汇至</w:t>
      </w:r>
      <w:r>
        <w:rPr>
          <w:rFonts w:hint="eastAsia"/>
          <w:color w:val="0C0C0C" w:themeColor="text1" w:themeTint="F2"/>
          <w:sz w:val="21"/>
          <w:szCs w:val="21"/>
        </w:rPr>
        <w:t>：</w:t>
      </w:r>
      <w:r>
        <w:rPr>
          <w:rFonts w:hint="eastAsia"/>
          <w:color w:val="0C0C0C" w:themeColor="text1" w:themeTint="F2"/>
          <w:sz w:val="21"/>
          <w:szCs w:val="21"/>
          <w:u w:val="single"/>
        </w:rPr>
        <w:t xml:space="preserve"> </w:t>
      </w:r>
      <w:r>
        <w:rPr>
          <w:rFonts w:hint="eastAsia"/>
          <w:color w:val="0C0C0C" w:themeColor="text1" w:themeTint="F2"/>
          <w:sz w:val="21"/>
          <w:szCs w:val="21"/>
          <w:u w:val="single"/>
          <w:lang w:val="en-US" w:eastAsia="zh-CN"/>
        </w:rPr>
        <w:t xml:space="preserve">   </w:t>
      </w:r>
      <w:r>
        <w:rPr>
          <w:rFonts w:hint="eastAsia"/>
          <w:color w:val="0C0C0C" w:themeColor="text1" w:themeTint="F2"/>
          <w:sz w:val="21"/>
          <w:szCs w:val="21"/>
          <w:u w:val="single"/>
          <w:lang w:eastAsia="zh-CN"/>
        </w:rPr>
        <w:t>岳阳市公共资源交易中心</w:t>
      </w:r>
      <w:r>
        <w:rPr>
          <w:rFonts w:hint="eastAsia" w:cs="Times New Roman"/>
          <w:color w:val="0C0C0C" w:themeColor="text1" w:themeTint="F2"/>
          <w:sz w:val="21"/>
          <w:szCs w:val="21"/>
          <w:u w:val="single"/>
        </w:rPr>
        <w:t xml:space="preserve"> </w:t>
      </w:r>
      <w:r>
        <w:rPr>
          <w:rFonts w:hint="eastAsia"/>
          <w:color w:val="0C0C0C" w:themeColor="text1" w:themeTint="F2"/>
          <w:sz w:val="21"/>
          <w:szCs w:val="21"/>
          <w:u w:val="single"/>
        </w:rPr>
        <w:t xml:space="preserve"> </w:t>
      </w:r>
      <w:r>
        <w:rPr>
          <w:rFonts w:hint="eastAsia"/>
          <w:color w:val="0C0C0C" w:themeColor="text1" w:themeTint="F2"/>
          <w:sz w:val="21"/>
          <w:szCs w:val="21"/>
          <w:u w:val="single"/>
          <w:lang w:val="en-US" w:eastAsia="zh-CN"/>
        </w:rPr>
        <w:t xml:space="preserve"> </w:t>
      </w:r>
      <w:r>
        <w:rPr>
          <w:rFonts w:hint="eastAsia"/>
          <w:color w:val="0C0C0C" w:themeColor="text1" w:themeTint="F2"/>
          <w:sz w:val="21"/>
          <w:szCs w:val="21"/>
          <w:u w:val="single"/>
        </w:rPr>
        <w:t xml:space="preserve"> </w:t>
      </w:r>
    </w:p>
    <w:p>
      <w:pPr>
        <w:spacing w:line="360" w:lineRule="auto"/>
        <w:ind w:firstLine="482"/>
        <w:rPr>
          <w:rFonts w:hint="eastAsia" w:ascii="宋体" w:hAnsi="宋体" w:eastAsia="宋体" w:cs="宋体"/>
          <w:b w:val="0"/>
          <w:i w:val="0"/>
          <w:caps w:val="0"/>
          <w:color w:val="333333"/>
          <w:spacing w:val="0"/>
          <w:sz w:val="24"/>
          <w:szCs w:val="24"/>
        </w:rPr>
      </w:pPr>
      <w:r>
        <w:rPr>
          <w:rFonts w:hint="eastAsia"/>
          <w:sz w:val="21"/>
          <w:szCs w:val="21"/>
        </w:rPr>
        <w:t>开 户 行：</w:t>
      </w:r>
      <w:r>
        <w:rPr>
          <w:rFonts w:hint="eastAsia"/>
          <w:color w:val="0C0C0C" w:themeColor="text1" w:themeTint="F2"/>
          <w:sz w:val="21"/>
          <w:szCs w:val="21"/>
          <w:u w:val="single"/>
          <w:lang w:eastAsia="zh-CN"/>
        </w:rPr>
        <w:t>投标人在网上可自行选择保证金专户银行账户</w:t>
      </w:r>
    </w:p>
    <w:p>
      <w:pPr>
        <w:spacing w:line="360" w:lineRule="auto"/>
        <w:ind w:firstLine="482"/>
        <w:rPr>
          <w:rFonts w:ascii="宋体" w:hAnsi="宋体" w:cs="宋体"/>
        </w:rPr>
      </w:pPr>
      <w:r>
        <w:rPr>
          <w:rFonts w:hint="eastAsia"/>
          <w:sz w:val="21"/>
          <w:szCs w:val="21"/>
        </w:rPr>
        <w:t>银行账号</w:t>
      </w:r>
      <w:r>
        <w:rPr>
          <w:rFonts w:hint="eastAsia" w:cs="Times New Roman"/>
          <w:sz w:val="21"/>
          <w:szCs w:val="21"/>
          <w:u w:val="none"/>
        </w:rPr>
        <w:t>：</w:t>
      </w:r>
      <w:r>
        <w:rPr>
          <w:rFonts w:hint="eastAsia" w:cs="Times New Roman"/>
          <w:sz w:val="21"/>
          <w:szCs w:val="21"/>
          <w:u w:val="single"/>
          <w:lang w:val="en-US" w:eastAsia="zh-CN"/>
        </w:rPr>
        <w:t xml:space="preserve"> </w:t>
      </w:r>
      <w:r>
        <w:rPr>
          <w:rFonts w:hint="eastAsia"/>
          <w:color w:val="0C0C0C" w:themeColor="text1" w:themeTint="F2"/>
          <w:sz w:val="21"/>
          <w:szCs w:val="21"/>
          <w:u w:val="single"/>
          <w:lang w:val="en-US" w:eastAsia="zh-CN"/>
        </w:rPr>
        <w:t xml:space="preserve"> </w:t>
      </w:r>
      <w:r>
        <w:rPr>
          <w:rFonts w:hint="eastAsia"/>
          <w:color w:val="0C0C0C" w:themeColor="text1" w:themeTint="F2"/>
          <w:sz w:val="21"/>
          <w:szCs w:val="21"/>
          <w:u w:val="single"/>
          <w:lang w:eastAsia="zh-CN"/>
        </w:rPr>
        <w:t>投标人随机获取对应本项目（标段）投标保证金子账号</w:t>
      </w:r>
      <w:r>
        <w:rPr>
          <w:rFonts w:hint="eastAsia"/>
          <w:color w:val="0C0C0C" w:themeColor="text1" w:themeTint="F2"/>
          <w:sz w:val="21"/>
          <w:szCs w:val="21"/>
          <w:u w:val="single"/>
          <w:lang w:val="en-US" w:eastAsia="zh-CN"/>
        </w:rPr>
        <w:t xml:space="preserve"> </w:t>
      </w:r>
    </w:p>
    <w:p>
      <w:pPr>
        <w:widowControl/>
        <w:spacing w:line="360" w:lineRule="auto"/>
        <w:jc w:val="left"/>
        <w:rPr>
          <w:rFonts w:ascii="宋体" w:hAnsi="宋体" w:cs="宋体"/>
        </w:rPr>
      </w:pPr>
    </w:p>
    <w:p>
      <w:pPr>
        <w:widowControl/>
        <w:spacing w:line="360" w:lineRule="auto"/>
        <w:ind w:firstLine="420"/>
        <w:jc w:val="left"/>
        <w:rPr>
          <w:rFonts w:ascii="宋体" w:hAnsi="宋体" w:cs="宋体"/>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center"/>
        <w:rPr>
          <w:rFonts w:hint="eastAsia" w:cs="黑体" w:asciiTheme="majorEastAsia" w:hAnsiTheme="majorEastAsia" w:eastAsiaTheme="majorEastAsia"/>
          <w:b/>
          <w:sz w:val="36"/>
          <w:szCs w:val="36"/>
        </w:rPr>
      </w:pPr>
    </w:p>
    <w:p>
      <w:pPr>
        <w:jc w:val="both"/>
        <w:rPr>
          <w:rFonts w:hint="eastAsia" w:cs="黑体" w:asciiTheme="majorEastAsia" w:hAnsiTheme="majorEastAsia" w:eastAsiaTheme="majorEastAsia"/>
          <w:b/>
          <w:sz w:val="36"/>
          <w:szCs w:val="36"/>
        </w:rPr>
      </w:pPr>
    </w:p>
    <w:p>
      <w:pPr>
        <w:jc w:val="center"/>
        <w:rPr>
          <w:rFonts w:cs="Times New Roman" w:asciiTheme="majorEastAsia" w:hAnsiTheme="majorEastAsia" w:eastAsiaTheme="majorEastAsia"/>
          <w:b/>
          <w:sz w:val="36"/>
          <w:szCs w:val="36"/>
        </w:rPr>
      </w:pPr>
      <w:r>
        <w:rPr>
          <w:rFonts w:hint="eastAsia" w:cs="黑体" w:asciiTheme="majorEastAsia" w:hAnsiTheme="majorEastAsia" w:eastAsiaTheme="majorEastAsia"/>
          <w:b/>
          <w:sz w:val="36"/>
          <w:szCs w:val="36"/>
        </w:rPr>
        <w:t>第二章 谈判须知</w:t>
      </w:r>
    </w:p>
    <w:p>
      <w:pPr>
        <w:jc w:val="center"/>
        <w:rPr>
          <w:rFonts w:ascii="黑体" w:hAnsi="黑体" w:eastAsia="黑体" w:cs="黑体"/>
          <w:b/>
          <w:bCs/>
          <w:sz w:val="24"/>
          <w:szCs w:val="24"/>
        </w:rPr>
      </w:pPr>
    </w:p>
    <w:p>
      <w:pPr>
        <w:jc w:val="center"/>
        <w:rPr>
          <w:rFonts w:cs="Times New Roman" w:asciiTheme="majorEastAsia" w:hAnsiTheme="majorEastAsia" w:eastAsiaTheme="majorEastAsia"/>
          <w:b/>
          <w:sz w:val="32"/>
          <w:szCs w:val="32"/>
        </w:rPr>
      </w:pPr>
      <w:r>
        <w:rPr>
          <w:rFonts w:hint="eastAsia" w:ascii="黑体" w:hAnsi="黑体" w:eastAsia="黑体" w:cs="黑体"/>
          <w:b/>
          <w:bCs/>
          <w:sz w:val="24"/>
          <w:szCs w:val="24"/>
        </w:rPr>
        <w:t>谈判须知前附表</w:t>
      </w:r>
    </w:p>
    <w:tbl>
      <w:tblPr>
        <w:tblStyle w:val="13"/>
        <w:tblW w:w="10587" w:type="dxa"/>
        <w:jc w:val="center"/>
        <w:tblInd w:w="0" w:type="dxa"/>
        <w:tblLayout w:type="fixed"/>
        <w:tblCellMar>
          <w:top w:w="0" w:type="dxa"/>
          <w:left w:w="108" w:type="dxa"/>
          <w:bottom w:w="0" w:type="dxa"/>
          <w:right w:w="108" w:type="dxa"/>
        </w:tblCellMar>
      </w:tblPr>
      <w:tblGrid>
        <w:gridCol w:w="2323"/>
        <w:gridCol w:w="2122"/>
        <w:gridCol w:w="6142"/>
      </w:tblGrid>
      <w:tr>
        <w:tblPrEx>
          <w:tblLayout w:type="fixed"/>
          <w:tblCellMar>
            <w:top w:w="0" w:type="dxa"/>
            <w:left w:w="108" w:type="dxa"/>
            <w:bottom w:w="0" w:type="dxa"/>
            <w:right w:w="108" w:type="dxa"/>
          </w:tblCellMar>
        </w:tblPrEx>
        <w:trPr>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b/>
                <w:bCs/>
              </w:rPr>
              <w:t>条款号</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b/>
                <w:bCs/>
              </w:rPr>
              <w:t>条款名称</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b/>
                <w:bCs/>
              </w:rPr>
              <w:t>编列内容规定</w:t>
            </w:r>
          </w:p>
        </w:tc>
      </w:tr>
      <w:tr>
        <w:tblPrEx>
          <w:tblLayout w:type="fixed"/>
          <w:tblCellMar>
            <w:top w:w="0" w:type="dxa"/>
            <w:left w:w="108" w:type="dxa"/>
            <w:bottom w:w="0" w:type="dxa"/>
            <w:right w:w="108" w:type="dxa"/>
          </w:tblCellMar>
        </w:tblPrEx>
        <w:trPr>
          <w:jc w:val="center"/>
        </w:trPr>
        <w:tc>
          <w:tcPr>
            <w:tcW w:w="10587" w:type="dxa"/>
            <w:gridSpan w:val="3"/>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b/>
                <w:bCs/>
              </w:rPr>
              <w:t>一、说明</w:t>
            </w:r>
          </w:p>
        </w:tc>
      </w:tr>
      <w:tr>
        <w:tblPrEx>
          <w:tblLayout w:type="fixed"/>
          <w:tblCellMar>
            <w:top w:w="0" w:type="dxa"/>
            <w:left w:w="108" w:type="dxa"/>
            <w:bottom w:w="0" w:type="dxa"/>
            <w:right w:w="108" w:type="dxa"/>
          </w:tblCellMar>
        </w:tblPrEx>
        <w:trPr>
          <w:trHeight w:val="548"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1.1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采购项目</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hint="eastAsia" w:ascii="宋体" w:eastAsia="宋体" w:cs="Times New Roman"/>
                <w:lang w:eastAsia="zh-CN"/>
              </w:rPr>
            </w:pPr>
            <w:r>
              <w:rPr>
                <w:rFonts w:hint="eastAsia" w:ascii="宋体" w:hAnsi="宋体"/>
                <w:iCs/>
                <w:lang w:eastAsia="zh-CN"/>
              </w:rPr>
              <w:t>华容县农业局编印“三农”政策科技宣传资料</w:t>
            </w:r>
          </w:p>
        </w:tc>
      </w:tr>
      <w:tr>
        <w:tblPrEx>
          <w:tblLayout w:type="fixed"/>
          <w:tblCellMar>
            <w:top w:w="0" w:type="dxa"/>
            <w:left w:w="108" w:type="dxa"/>
            <w:bottom w:w="0" w:type="dxa"/>
            <w:right w:w="108" w:type="dxa"/>
          </w:tblCellMar>
        </w:tblPrEx>
        <w:trPr>
          <w:trHeight w:val="593"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2.1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采购人</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iCs/>
                <w:lang w:eastAsia="zh-CN"/>
              </w:rPr>
              <w:t>华容县农业</w:t>
            </w:r>
            <w:r>
              <w:rPr>
                <w:rFonts w:hint="eastAsia" w:ascii="宋体" w:hAnsi="宋体"/>
                <w:iCs/>
              </w:rPr>
              <w:t>局</w:t>
            </w:r>
          </w:p>
        </w:tc>
      </w:tr>
      <w:tr>
        <w:tblPrEx>
          <w:tblLayout w:type="fixed"/>
          <w:tblCellMar>
            <w:top w:w="0" w:type="dxa"/>
            <w:left w:w="108" w:type="dxa"/>
            <w:bottom w:w="0" w:type="dxa"/>
            <w:right w:w="108" w:type="dxa"/>
          </w:tblCellMar>
        </w:tblPrEx>
        <w:trPr>
          <w:trHeight w:val="593"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2.2</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采购代理机构</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iCs/>
              </w:rPr>
              <w:t>湖南</w:t>
            </w:r>
            <w:r>
              <w:rPr>
                <w:rFonts w:hint="eastAsia" w:ascii="宋体" w:hAnsi="宋体"/>
                <w:iCs/>
                <w:lang w:eastAsia="zh-CN"/>
              </w:rPr>
              <w:t>省湘咨工程咨询</w:t>
            </w:r>
            <w:r>
              <w:rPr>
                <w:rFonts w:hint="eastAsia" w:ascii="宋体" w:hAnsi="宋体"/>
                <w:iCs/>
              </w:rPr>
              <w:t>有限</w:t>
            </w:r>
            <w:r>
              <w:rPr>
                <w:rFonts w:hint="eastAsia" w:ascii="宋体" w:hAnsi="宋体"/>
                <w:iCs/>
                <w:lang w:eastAsia="zh-CN"/>
              </w:rPr>
              <w:t>责任</w:t>
            </w:r>
            <w:r>
              <w:rPr>
                <w:rFonts w:hint="eastAsia" w:ascii="宋体" w:hAnsi="宋体"/>
                <w:iCs/>
              </w:rPr>
              <w:t>公司</w:t>
            </w:r>
          </w:p>
        </w:tc>
      </w:tr>
      <w:tr>
        <w:tblPrEx>
          <w:tblLayout w:type="fixed"/>
          <w:tblCellMar>
            <w:top w:w="0" w:type="dxa"/>
            <w:left w:w="108" w:type="dxa"/>
            <w:bottom w:w="0" w:type="dxa"/>
            <w:right w:w="108" w:type="dxa"/>
          </w:tblCellMar>
        </w:tblPrEx>
        <w:trPr>
          <w:trHeight w:val="698" w:hRule="atLeast"/>
          <w:jc w:val="center"/>
        </w:trPr>
        <w:tc>
          <w:tcPr>
            <w:tcW w:w="2323" w:type="dxa"/>
            <w:vMerge w:val="restart"/>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2.3</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供应商的邀请方式</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cs="Times New Roman"/>
                <w:lang w:eastAsia="zh-CN"/>
              </w:rPr>
              <w:t>业主、专家书面推荐</w:t>
            </w:r>
          </w:p>
        </w:tc>
      </w:tr>
      <w:tr>
        <w:tblPrEx>
          <w:tblLayout w:type="fixed"/>
          <w:tblCellMar>
            <w:top w:w="0" w:type="dxa"/>
            <w:left w:w="108" w:type="dxa"/>
            <w:bottom w:w="0" w:type="dxa"/>
            <w:right w:w="108" w:type="dxa"/>
          </w:tblCellMar>
        </w:tblPrEx>
        <w:trPr>
          <w:trHeight w:val="90" w:hRule="atLeast"/>
          <w:jc w:val="center"/>
        </w:trPr>
        <w:tc>
          <w:tcPr>
            <w:tcW w:w="2323" w:type="dxa"/>
            <w:vMerge w:val="continue"/>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sz w:val="22"/>
                <w:szCs w:val="22"/>
              </w:rPr>
            </w:pP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ind w:left="105" w:hanging="105" w:hangingChars="50"/>
              <w:rPr>
                <w:rFonts w:ascii="宋体" w:cs="Times New Roman"/>
              </w:rPr>
            </w:pPr>
            <w:r>
              <w:rPr>
                <w:rFonts w:hint="eastAsia" w:ascii="宋体" w:hAnsi="宋体" w:cs="宋体"/>
              </w:rPr>
              <w:t>领取或购买谈判文件时应提供的资料</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pStyle w:val="20"/>
              <w:widowControl/>
              <w:numPr>
                <w:ilvl w:val="0"/>
                <w:numId w:val="1"/>
              </w:numPr>
              <w:spacing w:line="360" w:lineRule="auto"/>
              <w:ind w:firstLineChars="0"/>
              <w:jc w:val="left"/>
              <w:rPr>
                <w:rFonts w:ascii="宋体" w:hAnsi="宋体" w:cs="宋体"/>
              </w:rPr>
            </w:pPr>
            <w:r>
              <w:rPr>
                <w:rFonts w:hint="eastAsia" w:ascii="宋体" w:hAnsi="宋体" w:cs="宋体"/>
              </w:rPr>
              <w:t>谈判通知；</w:t>
            </w:r>
          </w:p>
          <w:p>
            <w:pPr>
              <w:pStyle w:val="20"/>
              <w:widowControl/>
              <w:numPr>
                <w:ilvl w:val="0"/>
                <w:numId w:val="1"/>
              </w:numPr>
              <w:spacing w:line="360" w:lineRule="auto"/>
              <w:ind w:firstLineChars="0"/>
              <w:jc w:val="left"/>
              <w:rPr>
                <w:rFonts w:ascii="宋体" w:cs="Times New Roman"/>
              </w:rPr>
            </w:pPr>
            <w:r>
              <w:rPr>
                <w:rFonts w:hint="eastAsia" w:ascii="宋体" w:cs="Times New Roman"/>
              </w:rPr>
              <w:t>个人身份证、法定代表人身份证明（或者授权委托书并附法定代表人身份证明）。</w:t>
            </w:r>
          </w:p>
        </w:tc>
      </w:tr>
      <w:tr>
        <w:tblPrEx>
          <w:tblLayout w:type="fixed"/>
          <w:tblCellMar>
            <w:top w:w="0" w:type="dxa"/>
            <w:left w:w="108" w:type="dxa"/>
            <w:bottom w:w="0" w:type="dxa"/>
            <w:right w:w="108" w:type="dxa"/>
          </w:tblCellMar>
        </w:tblPrEx>
        <w:trPr>
          <w:trHeight w:val="90"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3.1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left"/>
              <w:rPr>
                <w:rFonts w:ascii="宋体" w:cs="Times New Roman"/>
              </w:rPr>
            </w:pPr>
            <w:r>
              <w:rPr>
                <w:rFonts w:hint="eastAsia" w:ascii="宋体" w:hAnsi="宋体" w:cs="宋体"/>
              </w:rPr>
              <w:t>供应商资格条件</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widowControl/>
              <w:spacing w:line="360" w:lineRule="auto"/>
              <w:jc w:val="left"/>
              <w:rPr>
                <w:rFonts w:ascii="宋体" w:cs="Times New Roman"/>
              </w:rPr>
            </w:pPr>
            <w:r>
              <w:rPr>
                <w:rFonts w:ascii="宋体" w:hAnsi="宋体" w:cs="宋体"/>
              </w:rPr>
              <w:t>1</w:t>
            </w:r>
            <w:r>
              <w:rPr>
                <w:rFonts w:hint="eastAsia" w:ascii="宋体" w:hAnsi="宋体" w:cs="宋体"/>
              </w:rPr>
              <w:t>、基本资格条件：</w:t>
            </w:r>
          </w:p>
          <w:p>
            <w:pPr>
              <w:adjustRightInd w:val="0"/>
              <w:snapToGrid w:val="0"/>
              <w:spacing w:line="360" w:lineRule="auto"/>
              <w:ind w:firstLine="420" w:firstLineChars="200"/>
              <w:outlineLvl w:val="0"/>
              <w:rPr>
                <w:rFonts w:ascii="宋体" w:hAnsi="宋体"/>
              </w:rPr>
            </w:pPr>
            <w:r>
              <w:rPr>
                <w:rFonts w:hint="eastAsia" w:ascii="宋体" w:hAnsi="宋体"/>
              </w:rPr>
              <w:t>符合《中华人民共和国政府采购法》第二十二条规定的供应商条件 ：</w:t>
            </w:r>
          </w:p>
          <w:p>
            <w:pPr>
              <w:widowControl/>
              <w:spacing w:line="360" w:lineRule="auto"/>
              <w:jc w:val="left"/>
              <w:rPr>
                <w:rFonts w:ascii="宋体" w:hAnsi="宋体" w:cs="宋体"/>
              </w:rPr>
            </w:pPr>
            <w:r>
              <w:rPr>
                <w:rFonts w:hint="eastAsia" w:ascii="宋体" w:hAnsi="宋体" w:cs="宋体"/>
              </w:rPr>
              <w:t>（1）具有独立承担民事责任的能力；</w:t>
            </w:r>
          </w:p>
          <w:p>
            <w:pPr>
              <w:widowControl/>
              <w:spacing w:line="360" w:lineRule="auto"/>
              <w:jc w:val="left"/>
              <w:rPr>
                <w:rFonts w:ascii="宋体" w:hAnsi="宋体" w:cs="宋体"/>
              </w:rPr>
            </w:pPr>
            <w:r>
              <w:rPr>
                <w:rFonts w:hint="eastAsia" w:ascii="宋体" w:hAnsi="宋体" w:cs="宋体"/>
              </w:rPr>
              <w:t>（2）具有良好的商业信誉和健全的财务会计制度；</w:t>
            </w:r>
          </w:p>
          <w:p>
            <w:pPr>
              <w:widowControl/>
              <w:spacing w:line="360" w:lineRule="auto"/>
              <w:jc w:val="left"/>
              <w:rPr>
                <w:rFonts w:ascii="宋体" w:hAnsi="宋体" w:cs="宋体"/>
              </w:rPr>
            </w:pPr>
            <w:r>
              <w:rPr>
                <w:rFonts w:hint="eastAsia" w:ascii="宋体" w:hAnsi="宋体" w:cs="宋体"/>
              </w:rPr>
              <w:t>（3）具有履行合同所必需的设备和专业技术人员；</w:t>
            </w:r>
          </w:p>
          <w:p>
            <w:pPr>
              <w:widowControl/>
              <w:spacing w:line="360" w:lineRule="auto"/>
              <w:jc w:val="left"/>
              <w:rPr>
                <w:rFonts w:ascii="宋体" w:hAnsi="宋体" w:cs="宋体"/>
              </w:rPr>
            </w:pPr>
            <w:r>
              <w:rPr>
                <w:rFonts w:hint="eastAsia" w:ascii="宋体" w:hAnsi="宋体" w:cs="宋体"/>
              </w:rPr>
              <w:t>（4）有依法缴纳税收和社会保障资金的良好记录；</w:t>
            </w:r>
          </w:p>
          <w:p>
            <w:pPr>
              <w:widowControl/>
              <w:spacing w:line="360" w:lineRule="auto"/>
              <w:jc w:val="left"/>
              <w:rPr>
                <w:rFonts w:ascii="宋体" w:hAnsi="宋体" w:cs="宋体"/>
              </w:rPr>
            </w:pPr>
            <w:r>
              <w:rPr>
                <w:rFonts w:hint="eastAsia" w:ascii="宋体" w:hAnsi="宋体" w:cs="宋体"/>
              </w:rPr>
              <w:t>（5）参加政府采购活动前三年内，在经营活动中没有重大违法记录；</w:t>
            </w:r>
          </w:p>
          <w:p>
            <w:pPr>
              <w:widowControl/>
              <w:spacing w:line="360" w:lineRule="auto"/>
              <w:jc w:val="left"/>
              <w:rPr>
                <w:rFonts w:ascii="宋体" w:hAnsi="宋体" w:cs="宋体"/>
              </w:rPr>
            </w:pPr>
            <w:r>
              <w:rPr>
                <w:rFonts w:hint="eastAsia" w:ascii="宋体" w:hAnsi="宋体" w:cs="宋体"/>
              </w:rPr>
              <w:t>（6）法律、行政法规规定的其他条件。</w:t>
            </w:r>
          </w:p>
          <w:p>
            <w:pPr>
              <w:widowControl/>
              <w:spacing w:line="360" w:lineRule="auto"/>
              <w:jc w:val="left"/>
              <w:rPr>
                <w:rFonts w:ascii="宋体" w:hAnsi="宋体" w:cs="宋体"/>
                <w:color w:val="FF0000"/>
              </w:rPr>
            </w:pPr>
            <w:r>
              <w:rPr>
                <w:rFonts w:hint="eastAsia" w:ascii="宋体" w:hAnsi="宋体" w:cs="宋体"/>
              </w:rPr>
              <w:t>2、特定资格条件：</w:t>
            </w:r>
          </w:p>
          <w:p>
            <w:pPr>
              <w:adjustRightInd w:val="0"/>
              <w:snapToGrid w:val="0"/>
              <w:spacing w:line="360" w:lineRule="auto"/>
              <w:outlineLvl w:val="0"/>
              <w:rPr>
                <w:rFonts w:ascii="宋体" w:hAnsi="宋体" w:cs="宋体"/>
                <w:color w:val="000000" w:themeColor="text1"/>
              </w:rPr>
            </w:pPr>
            <w:r>
              <w:rPr>
                <w:rFonts w:hint="eastAsia" w:ascii="宋体" w:hAnsi="宋体" w:cs="宋体"/>
                <w:color w:val="000000" w:themeColor="text1"/>
              </w:rPr>
              <w:t>（1）供应商</w:t>
            </w:r>
            <w:r>
              <w:rPr>
                <w:rFonts w:hint="eastAsia" w:ascii="宋体" w:hAnsi="宋体" w:cs="宋体"/>
                <w:color w:val="000000" w:themeColor="text1"/>
                <w:lang w:eastAsia="zh-CN"/>
              </w:rPr>
              <w:t>应具备</w:t>
            </w:r>
            <w:r>
              <w:rPr>
                <w:rFonts w:hint="eastAsia" w:ascii="宋体" w:hAnsi="宋体" w:cs="宋体"/>
                <w:color w:val="000000" w:themeColor="text1"/>
              </w:rPr>
              <w:t>印刷经营许可证</w:t>
            </w:r>
            <w:r>
              <w:rPr>
                <w:rFonts w:hint="eastAsia" w:ascii="宋体" w:hAnsi="宋体" w:cs="宋体"/>
                <w:color w:val="000000" w:themeColor="text1"/>
                <w:lang w:eastAsia="zh-CN"/>
              </w:rPr>
              <w:t>；</w:t>
            </w:r>
          </w:p>
          <w:p>
            <w:pPr>
              <w:widowControl/>
              <w:spacing w:line="360" w:lineRule="auto"/>
              <w:jc w:val="left"/>
              <w:rPr>
                <w:rFonts w:ascii="宋体" w:hAnsi="宋体" w:cs="宋体"/>
              </w:rPr>
            </w:pPr>
            <w:r>
              <w:rPr>
                <w:rFonts w:hint="eastAsia" w:ascii="宋体" w:hAnsi="宋体" w:cs="宋体"/>
              </w:rPr>
              <w:t>（2）法人提交企业法人营业执照副本(或者法人登记证书)复印件；</w:t>
            </w:r>
          </w:p>
          <w:p>
            <w:pPr>
              <w:widowControl/>
              <w:spacing w:line="360" w:lineRule="auto"/>
              <w:jc w:val="left"/>
              <w:rPr>
                <w:rFonts w:ascii="宋体" w:hAnsi="宋体" w:cs="宋体"/>
                <w:color w:val="000000" w:themeColor="text1"/>
              </w:rPr>
            </w:pPr>
            <w:r>
              <w:rPr>
                <w:rFonts w:hint="eastAsia" w:ascii="宋体" w:hAnsi="宋体" w:cs="宋体"/>
                <w:color w:val="000000" w:themeColor="text1"/>
              </w:rPr>
              <w:t>（3）法人提交法定代表人身份证明或者法定代表人授权委托书原件并附法定代表人身份证明原件，自然人提交身份证复印件；</w:t>
            </w:r>
          </w:p>
          <w:p>
            <w:pPr>
              <w:widowControl/>
              <w:spacing w:line="360" w:lineRule="auto"/>
              <w:jc w:val="left"/>
              <w:rPr>
                <w:rFonts w:hint="eastAsia" w:ascii="宋体" w:hAnsi="宋体" w:cs="宋体"/>
                <w:color w:val="000000" w:themeColor="text1"/>
                <w:lang w:eastAsia="zh-CN"/>
              </w:rPr>
            </w:pPr>
            <w:r>
              <w:rPr>
                <w:rFonts w:hint="eastAsia" w:ascii="宋体" w:hAnsi="宋体" w:cs="宋体"/>
                <w:color w:val="000000" w:themeColor="text1"/>
              </w:rPr>
              <w:t>（4）供应商具有实行了“三证合一”登记制度改革的新证，视同为持有工商营业执照、组织机构代码证和税务登记证，符合基本资格条件的相关条款</w:t>
            </w:r>
            <w:r>
              <w:rPr>
                <w:rFonts w:hint="eastAsia" w:ascii="宋体" w:hAnsi="宋体" w:cs="宋体"/>
                <w:color w:val="000000" w:themeColor="text1"/>
                <w:lang w:eastAsia="zh-CN"/>
              </w:rPr>
              <w:t>；</w:t>
            </w:r>
          </w:p>
          <w:p>
            <w:pPr>
              <w:widowControl/>
              <w:spacing w:line="360" w:lineRule="auto"/>
              <w:jc w:val="left"/>
              <w:rPr>
                <w:rFonts w:hint="eastAsia" w:ascii="宋体" w:hAnsi="宋体" w:cs="宋体"/>
              </w:rPr>
            </w:pPr>
            <w:r>
              <w:rPr>
                <w:rFonts w:hint="eastAsia" w:ascii="宋体" w:hAnsi="宋体" w:cs="宋体"/>
                <w:lang w:eastAsia="zh-CN"/>
              </w:rPr>
              <w:t>（</w:t>
            </w:r>
            <w:r>
              <w:rPr>
                <w:rFonts w:hint="eastAsia" w:ascii="宋体" w:hAnsi="宋体" w:cs="宋体"/>
                <w:lang w:val="en-US" w:eastAsia="zh-CN"/>
              </w:rPr>
              <w:t>5</w:t>
            </w:r>
            <w:r>
              <w:rPr>
                <w:rFonts w:hint="eastAsia" w:ascii="宋体" w:hAnsi="宋体" w:cs="宋体"/>
                <w:lang w:eastAsia="zh-CN"/>
              </w:rPr>
              <w:t>）</w:t>
            </w:r>
            <w:r>
              <w:rPr>
                <w:rFonts w:hint="eastAsia" w:ascii="宋体" w:hAnsi="宋体" w:cs="宋体"/>
              </w:rPr>
              <w:t>依法缴纳</w:t>
            </w:r>
            <w:r>
              <w:rPr>
                <w:rFonts w:hint="eastAsia" w:ascii="宋体" w:hAnsi="宋体" w:cs="宋体"/>
                <w:lang w:eastAsia="zh-CN"/>
              </w:rPr>
              <w:t>社会保险费</w:t>
            </w:r>
            <w:r>
              <w:rPr>
                <w:rFonts w:hint="eastAsia" w:ascii="宋体" w:hAnsi="宋体" w:cs="宋体"/>
              </w:rPr>
              <w:t>的证明材料：《社会保险登记证》的复印件，或者</w:t>
            </w:r>
            <w:r>
              <w:rPr>
                <w:rFonts w:hint="eastAsia" w:ascii="宋体" w:hAnsi="宋体" w:cs="宋体"/>
                <w:lang w:eastAsia="zh-CN"/>
              </w:rPr>
              <w:t>近三个月</w:t>
            </w:r>
            <w:r>
              <w:rPr>
                <w:rFonts w:hint="eastAsia" w:ascii="宋体" w:hAnsi="宋体" w:cs="宋体"/>
              </w:rPr>
              <w:t>依法缴纳社会保险费的证明（缴费凭证复印件），或者委托他人缴纳的委托代办协议和</w:t>
            </w:r>
            <w:r>
              <w:rPr>
                <w:rFonts w:hint="eastAsia" w:ascii="宋体" w:hAnsi="宋体" w:cs="宋体"/>
                <w:lang w:eastAsia="zh-CN"/>
              </w:rPr>
              <w:t>近三个月</w:t>
            </w:r>
            <w:r>
              <w:rPr>
                <w:rFonts w:hint="eastAsia" w:ascii="宋体" w:hAnsi="宋体" w:cs="宋体"/>
              </w:rPr>
              <w:t>缴纳证明（收据复印件），或者法定征收机关出具的依法免缴税费的证明原件。</w:t>
            </w:r>
          </w:p>
          <w:p>
            <w:pPr>
              <w:widowControl/>
              <w:spacing w:line="360" w:lineRule="auto"/>
              <w:jc w:val="left"/>
              <w:rPr>
                <w:rFonts w:hint="eastAsia" w:ascii="宋体" w:hAnsi="宋体" w:eastAsia="宋体" w:cs="宋体"/>
                <w:lang w:eastAsia="zh-CN"/>
              </w:rPr>
            </w:pPr>
            <w:r>
              <w:rPr>
                <w:rFonts w:hint="eastAsia" w:ascii="宋体" w:hAnsi="宋体" w:cs="宋体"/>
                <w:lang w:eastAsia="zh-CN"/>
              </w:rPr>
              <w:t>（</w:t>
            </w:r>
            <w:r>
              <w:rPr>
                <w:rFonts w:hint="eastAsia" w:ascii="宋体" w:hAnsi="宋体" w:cs="宋体"/>
                <w:lang w:val="en-US" w:eastAsia="zh-CN"/>
              </w:rPr>
              <w:t>6</w:t>
            </w:r>
            <w:r>
              <w:rPr>
                <w:rFonts w:hint="eastAsia" w:ascii="宋体" w:hAnsi="宋体" w:cs="宋体"/>
                <w:lang w:eastAsia="zh-CN"/>
              </w:rPr>
              <w:t>）</w:t>
            </w:r>
            <w:r>
              <w:rPr>
                <w:rFonts w:hint="eastAsia" w:ascii="宋体" w:hAnsi="宋体" w:cs="宋体"/>
              </w:rPr>
              <w:t>依据《湖南省财政厅关于做好政府采购有关信用主体标识码登记及在政府采购活动中查询使用信用记录有关问题的通知》（湘财购（2017）2号）和《关于印发&lt;岳阳市“构建诚信，惩戒失信”合作备忘录&gt;的通知》（岳市文明办联［2015］10号）精神，供应商无不良信用记录，提供在“信用中国（</w:t>
            </w:r>
            <w:r>
              <w:rPr>
                <w:rFonts w:hint="eastAsia" w:ascii="宋体" w:hAnsi="宋体" w:cs="宋体"/>
              </w:rPr>
              <w:fldChar w:fldCharType="begin"/>
            </w:r>
            <w:r>
              <w:rPr>
                <w:rFonts w:hint="eastAsia" w:ascii="宋体" w:hAnsi="宋体" w:cs="宋体"/>
              </w:rPr>
              <w:instrText xml:space="preserve"> HYPERLINK "http://www.creditchina.gov.cn/" </w:instrText>
            </w:r>
            <w:r>
              <w:rPr>
                <w:rFonts w:hint="eastAsia" w:ascii="宋体" w:hAnsi="宋体" w:cs="宋体"/>
              </w:rPr>
              <w:fldChar w:fldCharType="separate"/>
            </w:r>
            <w:r>
              <w:rPr>
                <w:rFonts w:hint="eastAsia" w:ascii="宋体" w:hAnsi="宋体" w:cs="宋体"/>
              </w:rPr>
              <w:t>www.creditchina.gov.cn</w:t>
            </w:r>
            <w:r>
              <w:rPr>
                <w:rFonts w:hint="eastAsia" w:ascii="宋体" w:hAnsi="宋体" w:cs="宋体"/>
              </w:rPr>
              <w:fldChar w:fldCharType="end"/>
            </w:r>
            <w:r>
              <w:rPr>
                <w:rFonts w:hint="eastAsia" w:ascii="宋体" w:hAnsi="宋体" w:cs="宋体"/>
              </w:rPr>
              <w:t>）”的查询复印件加盖公章。</w:t>
            </w:r>
          </w:p>
        </w:tc>
      </w:tr>
      <w:tr>
        <w:tblPrEx>
          <w:tblLayout w:type="fixed"/>
          <w:tblCellMar>
            <w:top w:w="0" w:type="dxa"/>
            <w:left w:w="108" w:type="dxa"/>
            <w:bottom w:w="0" w:type="dxa"/>
            <w:right w:w="108" w:type="dxa"/>
          </w:tblCellMar>
        </w:tblPrEx>
        <w:trPr>
          <w:trHeight w:val="593"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6.1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both"/>
              <w:rPr>
                <w:rFonts w:ascii="宋体" w:cs="Times New Roman"/>
                <w:color w:val="000000" w:themeColor="text1"/>
              </w:rPr>
            </w:pPr>
            <w:r>
              <w:rPr>
                <w:rFonts w:hint="eastAsia" w:ascii="宋体" w:hAnsi="宋体" w:cs="宋体"/>
                <w:color w:val="000000" w:themeColor="text1"/>
              </w:rPr>
              <w:t>联合体形式</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color w:val="000000" w:themeColor="text1"/>
              </w:rPr>
            </w:pPr>
            <w:r>
              <w:rPr>
                <w:rFonts w:hint="eastAsia" w:ascii="宋体" w:hAnsi="宋体" w:cs="宋体"/>
                <w:color w:val="000000" w:themeColor="text1"/>
                <w:lang w:eastAsia="zh-CN"/>
              </w:rPr>
              <w:t>不</w:t>
            </w:r>
            <w:r>
              <w:rPr>
                <w:rFonts w:hint="eastAsia" w:ascii="宋体" w:hAnsi="宋体" w:cs="宋体"/>
                <w:color w:val="000000" w:themeColor="text1"/>
              </w:rPr>
              <w:t>接受联合体投标</w:t>
            </w:r>
          </w:p>
        </w:tc>
      </w:tr>
      <w:tr>
        <w:tblPrEx>
          <w:tblLayout w:type="fixed"/>
          <w:tblCellMar>
            <w:top w:w="0" w:type="dxa"/>
            <w:left w:w="108" w:type="dxa"/>
            <w:bottom w:w="0" w:type="dxa"/>
            <w:right w:w="108" w:type="dxa"/>
          </w:tblCellMar>
        </w:tblPrEx>
        <w:trPr>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6.2</w:t>
            </w:r>
            <w:r>
              <w:rPr>
                <w:rFonts w:hint="eastAsia" w:ascii="宋体" w:hAnsi="宋体" w:cs="宋体"/>
              </w:rPr>
              <w:t>（</w:t>
            </w:r>
            <w:r>
              <w:rPr>
                <w:rFonts w:ascii="宋体" w:hAnsi="宋体" w:cs="宋体"/>
              </w:rPr>
              <w:t>3</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both"/>
              <w:rPr>
                <w:rFonts w:ascii="宋体" w:cs="Times New Roman"/>
                <w:color w:val="000000" w:themeColor="text1"/>
              </w:rPr>
            </w:pPr>
            <w:r>
              <w:rPr>
                <w:rFonts w:hint="eastAsia" w:ascii="宋体" w:hAnsi="宋体" w:cs="宋体"/>
                <w:color w:val="000000" w:themeColor="text1"/>
              </w:rPr>
              <w:t>对联合体各方的要求</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hint="eastAsia" w:ascii="宋体" w:eastAsia="宋体" w:cs="宋体"/>
                <w:color w:val="000000" w:themeColor="text1"/>
                <w:lang w:val="en-US" w:eastAsia="zh-CN"/>
              </w:rPr>
            </w:pPr>
            <w:r>
              <w:rPr>
                <w:rFonts w:hint="eastAsia" w:ascii="宋体" w:cs="宋体"/>
                <w:color w:val="000000" w:themeColor="text1"/>
                <w:lang w:val="en-US" w:eastAsia="zh-CN"/>
              </w:rPr>
              <w:t>--</w:t>
            </w:r>
          </w:p>
        </w:tc>
      </w:tr>
      <w:tr>
        <w:tblPrEx>
          <w:tblLayout w:type="fixed"/>
          <w:tblCellMar>
            <w:top w:w="0" w:type="dxa"/>
            <w:left w:w="108" w:type="dxa"/>
            <w:bottom w:w="0" w:type="dxa"/>
            <w:right w:w="108" w:type="dxa"/>
          </w:tblCellMar>
        </w:tblPrEx>
        <w:trPr>
          <w:trHeight w:val="638"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7.1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现场勘察</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left"/>
              <w:rPr>
                <w:rFonts w:ascii="宋体" w:cs="Times New Roman"/>
              </w:rPr>
            </w:pPr>
            <w:r>
              <w:rPr>
                <w:rFonts w:hint="eastAsia" w:ascii="宋体" w:hAnsi="宋体" w:cs="宋体"/>
              </w:rPr>
              <w:t>自行勘察</w:t>
            </w:r>
          </w:p>
        </w:tc>
      </w:tr>
      <w:tr>
        <w:tblPrEx>
          <w:tblLayout w:type="fixed"/>
          <w:tblCellMar>
            <w:top w:w="0" w:type="dxa"/>
            <w:left w:w="108" w:type="dxa"/>
            <w:bottom w:w="0" w:type="dxa"/>
            <w:right w:w="108" w:type="dxa"/>
          </w:tblCellMar>
        </w:tblPrEx>
        <w:trPr>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8.1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采购进口产品</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both"/>
              <w:rPr>
                <w:rFonts w:hint="eastAsia" w:ascii="宋体" w:eastAsia="宋体" w:cs="宋体"/>
                <w:lang w:eastAsia="zh-CN"/>
              </w:rPr>
            </w:pPr>
            <w:r>
              <w:rPr>
                <w:rFonts w:hint="eastAsia" w:ascii="宋体" w:cs="宋体"/>
                <w:lang w:eastAsia="zh-CN"/>
              </w:rPr>
              <w:t>否</w:t>
            </w:r>
          </w:p>
        </w:tc>
      </w:tr>
      <w:tr>
        <w:tblPrEx>
          <w:tblLayout w:type="fixed"/>
          <w:tblCellMar>
            <w:top w:w="0" w:type="dxa"/>
            <w:left w:w="108" w:type="dxa"/>
            <w:bottom w:w="0" w:type="dxa"/>
            <w:right w:w="108" w:type="dxa"/>
          </w:tblCellMar>
        </w:tblPrEx>
        <w:trPr>
          <w:jc w:val="center"/>
        </w:trPr>
        <w:tc>
          <w:tcPr>
            <w:tcW w:w="2323" w:type="dxa"/>
            <w:vMerge w:val="restart"/>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9.1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cs="Times New Roman"/>
                <w:color w:val="000000" w:themeColor="text1"/>
              </w:rPr>
            </w:pPr>
            <w:r>
              <w:rPr>
                <w:rFonts w:hint="eastAsia" w:ascii="宋体" w:hAnsi="宋体" w:cs="宋体"/>
                <w:color w:val="000000" w:themeColor="text1"/>
              </w:rPr>
              <w:t>政府采购强制采购：</w:t>
            </w:r>
            <w:r>
              <w:rPr>
                <w:rFonts w:ascii="宋体" w:hAnsi="宋体" w:cs="宋体"/>
                <w:color w:val="000000" w:themeColor="text1"/>
              </w:rPr>
              <w:t>(1)</w:t>
            </w:r>
            <w:r>
              <w:rPr>
                <w:rFonts w:hint="eastAsia" w:ascii="宋体" w:hAnsi="宋体" w:cs="宋体"/>
                <w:color w:val="000000" w:themeColor="text1"/>
              </w:rPr>
              <w:t>标记★符号的节能产品；</w:t>
            </w:r>
            <w:r>
              <w:rPr>
                <w:rFonts w:ascii="宋体" w:hAnsi="宋体" w:cs="宋体"/>
                <w:color w:val="000000" w:themeColor="text1"/>
              </w:rPr>
              <w:t>(2)</w:t>
            </w:r>
            <w:r>
              <w:rPr>
                <w:rFonts w:hint="eastAsia" w:ascii="宋体" w:hAnsi="宋体" w:cs="宋体"/>
                <w:color w:val="000000" w:themeColor="text1"/>
              </w:rPr>
              <w:t>其他。</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hAnsi="宋体"/>
                <w:color w:val="000000" w:themeColor="text1"/>
              </w:rPr>
            </w:pPr>
            <w:r>
              <w:rPr>
                <w:rFonts w:ascii="Arial" w:hAnsi="Arial" w:cs="Arial"/>
                <w:color w:val="000000" w:themeColor="text1"/>
              </w:rPr>
              <w:t>√</w:t>
            </w:r>
            <w:r>
              <w:rPr>
                <w:rFonts w:hint="eastAsia" w:ascii="宋体" w:hAnsi="宋体"/>
                <w:color w:val="000000" w:themeColor="text1"/>
              </w:rPr>
              <w:t xml:space="preserve"> </w:t>
            </w:r>
            <w:r>
              <w:rPr>
                <w:rFonts w:hint="eastAsia" w:ascii="宋体" w:hAnsi="宋体"/>
                <w:color w:val="000000" w:themeColor="text1"/>
                <w:lang w:val="en-US" w:eastAsia="zh-CN"/>
              </w:rPr>
              <w:t xml:space="preserve"> </w:t>
            </w:r>
            <w:r>
              <w:rPr>
                <w:rFonts w:hint="eastAsia" w:ascii="宋体" w:hAnsi="宋体"/>
                <w:color w:val="000000" w:themeColor="text1"/>
              </w:rPr>
              <w:t>否</w:t>
            </w:r>
          </w:p>
          <w:p>
            <w:pPr>
              <w:spacing w:line="360" w:lineRule="auto"/>
              <w:rPr>
                <w:rFonts w:hint="eastAsia" w:ascii="宋体" w:hAnsi="宋体"/>
                <w:color w:val="000000" w:themeColor="text1"/>
              </w:rPr>
            </w:pPr>
            <w:r>
              <w:rPr>
                <w:rFonts w:hint="eastAsia" w:ascii="宋体" w:hAnsi="宋体"/>
                <w:color w:val="000000" w:themeColor="text1"/>
              </w:rPr>
              <w:t>□ 是，采购《节能产品政府采购清单》（第</w:t>
            </w:r>
            <w:r>
              <w:rPr>
                <w:rFonts w:hint="eastAsia" w:ascii="宋体" w:hAnsi="宋体"/>
                <w:color w:val="000000" w:themeColor="text1"/>
                <w:u w:val="single"/>
                <w:lang w:val="en-US" w:eastAsia="zh-CN"/>
              </w:rPr>
              <w:t>22</w:t>
            </w:r>
            <w:r>
              <w:rPr>
                <w:rFonts w:hint="eastAsia" w:ascii="宋体" w:hAnsi="宋体"/>
                <w:color w:val="000000" w:themeColor="text1"/>
              </w:rPr>
              <w:t>期）内的产品。</w:t>
            </w:r>
          </w:p>
        </w:tc>
      </w:tr>
      <w:tr>
        <w:tblPrEx>
          <w:tblLayout w:type="fixed"/>
          <w:tblCellMar>
            <w:top w:w="0" w:type="dxa"/>
            <w:left w:w="108" w:type="dxa"/>
            <w:bottom w:w="0" w:type="dxa"/>
            <w:right w:w="108" w:type="dxa"/>
          </w:tblCellMar>
        </w:tblPrEx>
        <w:trPr>
          <w:jc w:val="center"/>
        </w:trPr>
        <w:tc>
          <w:tcPr>
            <w:tcW w:w="2323" w:type="dxa"/>
            <w:vMerge w:val="continue"/>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sz w:val="22"/>
                <w:szCs w:val="22"/>
              </w:rPr>
            </w:pP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cs="Times New Roman"/>
                <w:color w:val="000000" w:themeColor="text1"/>
              </w:rPr>
            </w:pPr>
            <w:r>
              <w:rPr>
                <w:rFonts w:hint="eastAsia" w:ascii="宋体" w:hAnsi="宋体" w:cs="宋体"/>
                <w:color w:val="000000" w:themeColor="text1"/>
              </w:rPr>
              <w:t>政府采购优先采购：</w:t>
            </w:r>
            <w:r>
              <w:rPr>
                <w:rFonts w:ascii="宋体" w:hAnsi="宋体" w:cs="宋体"/>
                <w:color w:val="000000" w:themeColor="text1"/>
              </w:rPr>
              <w:t>(1)</w:t>
            </w:r>
            <w:r>
              <w:rPr>
                <w:rFonts w:hint="eastAsia" w:ascii="宋体" w:hAnsi="宋体" w:cs="宋体"/>
                <w:color w:val="000000" w:themeColor="text1"/>
              </w:rPr>
              <w:t>非标记★符号的节能产品；</w:t>
            </w:r>
            <w:r>
              <w:rPr>
                <w:rFonts w:ascii="宋体" w:hAnsi="宋体" w:cs="宋体"/>
                <w:color w:val="000000" w:themeColor="text1"/>
              </w:rPr>
              <w:t>(2)</w:t>
            </w:r>
            <w:r>
              <w:rPr>
                <w:rFonts w:hint="eastAsia" w:ascii="宋体" w:hAnsi="宋体" w:cs="宋体"/>
                <w:color w:val="000000" w:themeColor="text1"/>
              </w:rPr>
              <w:t>环境标志产品；</w:t>
            </w:r>
            <w:r>
              <w:rPr>
                <w:rFonts w:ascii="宋体" w:hAnsi="宋体" w:cs="宋体"/>
                <w:color w:val="000000" w:themeColor="text1"/>
              </w:rPr>
              <w:t>(3)</w:t>
            </w:r>
            <w:r>
              <w:rPr>
                <w:rFonts w:hint="eastAsia" w:ascii="宋体" w:hAnsi="宋体" w:cs="宋体"/>
                <w:color w:val="000000" w:themeColor="text1"/>
              </w:rPr>
              <w:t>两型产品；</w:t>
            </w:r>
            <w:r>
              <w:rPr>
                <w:rFonts w:ascii="宋体" w:hAnsi="宋体" w:cs="宋体"/>
                <w:color w:val="000000" w:themeColor="text1"/>
              </w:rPr>
              <w:t>(4)</w:t>
            </w:r>
            <w:r>
              <w:rPr>
                <w:rFonts w:hint="eastAsia" w:ascii="宋体" w:hAnsi="宋体" w:cs="宋体"/>
                <w:color w:val="000000" w:themeColor="text1"/>
              </w:rPr>
              <w:t>支持中小企业发展；</w:t>
            </w:r>
            <w:r>
              <w:rPr>
                <w:rFonts w:ascii="宋体" w:hAnsi="宋体" w:cs="宋体"/>
                <w:color w:val="000000" w:themeColor="text1"/>
              </w:rPr>
              <w:t>(5)</w:t>
            </w:r>
            <w:r>
              <w:rPr>
                <w:rFonts w:hint="eastAsia" w:ascii="宋体" w:hAnsi="宋体" w:cs="宋体"/>
                <w:color w:val="000000" w:themeColor="text1"/>
              </w:rPr>
              <w:t>其他。</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hAnsi="宋体"/>
                <w:color w:val="000000" w:themeColor="text1"/>
              </w:rPr>
            </w:pPr>
            <w:r>
              <w:rPr>
                <w:rFonts w:ascii="Arial" w:hAnsi="Arial" w:cs="Arial"/>
                <w:color w:val="000000" w:themeColor="text1"/>
              </w:rPr>
              <w:t>√</w:t>
            </w:r>
            <w:r>
              <w:rPr>
                <w:rFonts w:hint="eastAsia" w:ascii="宋体" w:hAnsi="宋体"/>
                <w:color w:val="000000" w:themeColor="text1"/>
              </w:rPr>
              <w:t xml:space="preserve">  否</w:t>
            </w:r>
          </w:p>
          <w:p>
            <w:pPr>
              <w:pStyle w:val="20"/>
              <w:numPr>
                <w:ilvl w:val="0"/>
                <w:numId w:val="2"/>
              </w:numPr>
              <w:spacing w:line="360" w:lineRule="auto"/>
              <w:ind w:firstLineChars="0"/>
              <w:rPr>
                <w:rFonts w:ascii="Arial" w:hAnsi="Arial" w:cs="Arial"/>
                <w:color w:val="000000" w:themeColor="text1"/>
              </w:rPr>
            </w:pPr>
            <w:r>
              <w:rPr>
                <w:rFonts w:hint="eastAsia" w:ascii="Arial" w:hAnsi="Arial" w:cs="Arial"/>
                <w:color w:val="000000" w:themeColor="text1"/>
              </w:rPr>
              <w:t>是，采购产品为《环境标志产品政府采购清单》（第</w:t>
            </w:r>
            <w:r>
              <w:rPr>
                <w:rFonts w:hint="eastAsia" w:ascii="Arial" w:hAnsi="Arial" w:cs="Arial"/>
                <w:color w:val="000000" w:themeColor="text1"/>
                <w:u w:val="single"/>
                <w:lang w:val="en-US" w:eastAsia="zh-CN"/>
              </w:rPr>
              <w:t>20</w:t>
            </w:r>
            <w:r>
              <w:rPr>
                <w:rFonts w:ascii="Arial" w:hAnsi="Arial" w:cs="Arial"/>
                <w:color w:val="000000" w:themeColor="text1"/>
                <w:u w:val="single"/>
              </w:rPr>
              <w:t xml:space="preserve">  </w:t>
            </w:r>
            <w:r>
              <w:rPr>
                <w:rFonts w:hint="eastAsia" w:ascii="Arial" w:hAnsi="Arial" w:cs="Arial"/>
                <w:color w:val="000000" w:themeColor="text1"/>
              </w:rPr>
              <w:t>期）内的：</w:t>
            </w:r>
          </w:p>
          <w:p>
            <w:pPr>
              <w:numPr>
                <w:ilvl w:val="0"/>
                <w:numId w:val="3"/>
              </w:numPr>
              <w:spacing w:line="360" w:lineRule="auto"/>
              <w:rPr>
                <w:rFonts w:ascii="Arial" w:hAnsi="Arial" w:cs="Arial"/>
                <w:color w:val="000000" w:themeColor="text1"/>
              </w:rPr>
            </w:pPr>
            <w:r>
              <w:rPr>
                <w:rFonts w:hint="eastAsia" w:ascii="Arial" w:hAnsi="Arial" w:cs="Arial"/>
                <w:color w:val="000000" w:themeColor="text1"/>
              </w:rPr>
              <w:t>在采用竞争性谈判时，应给予</w:t>
            </w:r>
            <w:r>
              <w:rPr>
                <w:rFonts w:ascii="Arial" w:hAnsi="Arial" w:cs="Arial"/>
                <w:color w:val="000000" w:themeColor="text1"/>
              </w:rPr>
              <w:t>5%-10%</w:t>
            </w:r>
            <w:r>
              <w:rPr>
                <w:rFonts w:hint="eastAsia" w:ascii="Arial" w:hAnsi="Arial" w:cs="Arial"/>
                <w:color w:val="000000" w:themeColor="text1"/>
              </w:rPr>
              <w:t>的价格扣除，本项目具体扣除比例为</w:t>
            </w:r>
            <w:r>
              <w:rPr>
                <w:rFonts w:ascii="Arial" w:hAnsi="Arial" w:cs="Arial"/>
                <w:color w:val="000000" w:themeColor="text1"/>
                <w:u w:val="single"/>
              </w:rPr>
              <w:t xml:space="preserve">   </w:t>
            </w:r>
            <w:r>
              <w:rPr>
                <w:rFonts w:hint="eastAsia" w:ascii="Arial" w:hAnsi="Arial" w:cs="Arial"/>
                <w:color w:val="000000" w:themeColor="text1"/>
                <w:u w:val="single"/>
              </w:rPr>
              <w:t>/</w:t>
            </w:r>
            <w:r>
              <w:rPr>
                <w:rFonts w:ascii="Arial" w:hAnsi="Arial" w:cs="Arial"/>
                <w:color w:val="000000" w:themeColor="text1"/>
                <w:u w:val="single"/>
              </w:rPr>
              <w:t xml:space="preserve">  </w:t>
            </w:r>
            <w:r>
              <w:rPr>
                <w:rFonts w:ascii="Arial" w:hAnsi="Arial" w:cs="Arial"/>
                <w:color w:val="000000" w:themeColor="text1"/>
              </w:rPr>
              <w:t>%</w:t>
            </w:r>
            <w:r>
              <w:rPr>
                <w:rFonts w:hint="eastAsia" w:ascii="Arial" w:hAnsi="Arial" w:cs="Arial"/>
                <w:color w:val="000000" w:themeColor="text1"/>
              </w:rPr>
              <w:t>。</w:t>
            </w:r>
          </w:p>
          <w:p>
            <w:pPr>
              <w:spacing w:line="360" w:lineRule="auto"/>
              <w:rPr>
                <w:rFonts w:ascii="宋体" w:hAnsi="宋体"/>
                <w:color w:val="0C0C0C" w:themeColor="text1" w:themeTint="F2"/>
              </w:rPr>
            </w:pPr>
            <w:r>
              <w:rPr>
                <w:rFonts w:ascii="Arial" w:hAnsi="Arial" w:cs="Arial"/>
                <w:color w:val="0C0C0C" w:themeColor="text1" w:themeTint="F2"/>
              </w:rPr>
              <w:t>√</w:t>
            </w:r>
            <w:r>
              <w:rPr>
                <w:rFonts w:hint="eastAsia" w:ascii="宋体" w:hAnsi="宋体"/>
                <w:color w:val="0C0C0C" w:themeColor="text1" w:themeTint="F2"/>
              </w:rPr>
              <w:t xml:space="preserve">   专门面向中小企业采购</w:t>
            </w:r>
          </w:p>
          <w:p>
            <w:pPr>
              <w:spacing w:line="360" w:lineRule="auto"/>
              <w:rPr>
                <w:rFonts w:ascii="宋体" w:hAnsi="宋体"/>
                <w:color w:val="000000" w:themeColor="text1"/>
              </w:rPr>
            </w:pPr>
            <w:r>
              <w:rPr>
                <w:rFonts w:hint="eastAsia" w:ascii="宋体" w:hAnsi="宋体"/>
                <w:color w:val="000000" w:themeColor="text1"/>
              </w:rPr>
              <w:t>□  非专门面向中小企业采购：</w:t>
            </w:r>
          </w:p>
          <w:p>
            <w:pPr>
              <w:numPr>
                <w:ilvl w:val="0"/>
                <w:numId w:val="4"/>
              </w:numPr>
              <w:spacing w:line="360" w:lineRule="auto"/>
              <w:rPr>
                <w:rFonts w:ascii="宋体" w:hAnsi="宋体"/>
                <w:color w:val="000000" w:themeColor="text1"/>
              </w:rPr>
            </w:pPr>
            <w:r>
              <w:rPr>
                <w:rFonts w:hint="eastAsia" w:ascii="宋体" w:hAnsi="宋体"/>
                <w:color w:val="000000" w:themeColor="text1"/>
              </w:rPr>
              <w:t>给予小型和微型企业产品的价格给予6%-10%的扣除，用扣除后的价格参与评审，本项目具体扣除比例为</w:t>
            </w:r>
            <w:r>
              <w:rPr>
                <w:rFonts w:hint="eastAsia" w:ascii="宋体" w:hAnsi="宋体"/>
                <w:color w:val="000000" w:themeColor="text1"/>
                <w:u w:val="single"/>
              </w:rPr>
              <w:t xml:space="preserve">  </w:t>
            </w:r>
            <w:r>
              <w:rPr>
                <w:rFonts w:hint="eastAsia" w:ascii="Arial" w:hAnsi="Arial" w:cs="Arial"/>
                <w:color w:val="000000" w:themeColor="text1"/>
                <w:u w:val="single"/>
              </w:rPr>
              <w:t xml:space="preserve">/ </w:t>
            </w:r>
            <w:r>
              <w:rPr>
                <w:rFonts w:hint="eastAsia" w:ascii="宋体" w:hAnsi="宋体"/>
                <w:color w:val="000000" w:themeColor="text1"/>
                <w:u w:val="single"/>
              </w:rPr>
              <w:t xml:space="preserve"> </w:t>
            </w:r>
            <w:r>
              <w:rPr>
                <w:rFonts w:hint="eastAsia" w:ascii="宋体" w:hAnsi="宋体"/>
                <w:color w:val="000000" w:themeColor="text1"/>
              </w:rPr>
              <w:t>%</w:t>
            </w:r>
          </w:p>
          <w:p>
            <w:pPr>
              <w:numPr>
                <w:ilvl w:val="0"/>
                <w:numId w:val="4"/>
              </w:numPr>
              <w:spacing w:line="360" w:lineRule="auto"/>
              <w:rPr>
                <w:rFonts w:ascii="宋体" w:hAnsi="宋体"/>
                <w:color w:val="000000" w:themeColor="text1"/>
              </w:rPr>
            </w:pPr>
            <w:r>
              <w:rPr>
                <w:rFonts w:hint="eastAsia" w:ascii="宋体" w:hAnsi="宋体"/>
                <w:color w:val="000000" w:themeColor="text1"/>
                <w:lang w:eastAsia="zh-CN"/>
              </w:rPr>
              <w:t>给予联合体</w:t>
            </w:r>
            <w:r>
              <w:rPr>
                <w:rFonts w:hint="eastAsia" w:ascii="宋体" w:hAnsi="宋体"/>
                <w:color w:val="000000" w:themeColor="text1"/>
                <w:lang w:val="en-US" w:eastAsia="zh-CN"/>
              </w:rPr>
              <w:t>2%-3%的价格扣除。本项目具体扣除比例为</w:t>
            </w:r>
            <w:r>
              <w:rPr>
                <w:rFonts w:hint="eastAsia" w:ascii="宋体" w:hAnsi="宋体"/>
                <w:color w:val="000000" w:themeColor="text1"/>
                <w:u w:val="single"/>
                <w:lang w:val="en-US" w:eastAsia="zh-CN"/>
              </w:rPr>
              <w:t xml:space="preserve"> / </w:t>
            </w:r>
            <w:r>
              <w:rPr>
                <w:rFonts w:hint="eastAsia" w:ascii="宋体" w:hAnsi="宋体"/>
                <w:color w:val="000000" w:themeColor="text1"/>
                <w:u w:val="none"/>
                <w:lang w:val="en-US" w:eastAsia="zh-CN"/>
              </w:rPr>
              <w:t>%。</w:t>
            </w:r>
          </w:p>
          <w:p>
            <w:pPr>
              <w:numPr>
                <w:ilvl w:val="0"/>
                <w:numId w:val="4"/>
              </w:numPr>
              <w:spacing w:line="360" w:lineRule="auto"/>
              <w:rPr>
                <w:rFonts w:ascii="宋体" w:hAnsi="宋体"/>
                <w:color w:val="000000" w:themeColor="text1"/>
              </w:rPr>
            </w:pPr>
            <w:r>
              <w:rPr>
                <w:rFonts w:hint="eastAsia" w:ascii="宋体" w:hAnsi="宋体"/>
                <w:color w:val="000000" w:themeColor="text1"/>
              </w:rPr>
              <w:t>给予中型企业产品的价格给予3%-5%的扣除，用扣除后的价格参与评审，本项目具体扣除比例为</w:t>
            </w:r>
            <w:r>
              <w:rPr>
                <w:rFonts w:hint="eastAsia" w:ascii="宋体" w:hAnsi="宋体"/>
                <w:color w:val="000000" w:themeColor="text1"/>
                <w:u w:val="single"/>
              </w:rPr>
              <w:t xml:space="preserve">  </w:t>
            </w:r>
            <w:r>
              <w:rPr>
                <w:rFonts w:hint="eastAsia" w:ascii="Arial" w:hAnsi="Arial" w:cs="Arial"/>
                <w:color w:val="000000" w:themeColor="text1"/>
                <w:u w:val="single"/>
              </w:rPr>
              <w:t>/</w:t>
            </w:r>
            <w:r>
              <w:rPr>
                <w:rFonts w:hint="eastAsia" w:ascii="宋体" w:hAnsi="宋体"/>
                <w:color w:val="000000" w:themeColor="text1"/>
                <w:u w:val="single"/>
              </w:rPr>
              <w:t xml:space="preserve">  </w:t>
            </w:r>
            <w:r>
              <w:rPr>
                <w:rFonts w:hint="eastAsia" w:ascii="宋体" w:hAnsi="宋体"/>
                <w:color w:val="000000" w:themeColor="text1"/>
              </w:rPr>
              <w:t>%</w:t>
            </w:r>
          </w:p>
        </w:tc>
      </w:tr>
      <w:tr>
        <w:tblPrEx>
          <w:tblLayout w:type="fixed"/>
          <w:tblCellMar>
            <w:top w:w="0" w:type="dxa"/>
            <w:left w:w="108" w:type="dxa"/>
            <w:bottom w:w="0" w:type="dxa"/>
            <w:right w:w="108" w:type="dxa"/>
          </w:tblCellMar>
        </w:tblPrEx>
        <w:trPr>
          <w:trHeight w:val="747" w:hRule="atLeast"/>
          <w:jc w:val="center"/>
        </w:trPr>
        <w:tc>
          <w:tcPr>
            <w:tcW w:w="2323" w:type="dxa"/>
            <w:vMerge w:val="continue"/>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sz w:val="22"/>
                <w:szCs w:val="22"/>
              </w:rPr>
            </w:pP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政府采购支持中小企业融资</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有融资需求的，可查询中国湖南政府采购网办事指南专栏中相关业务简介。</w:t>
            </w:r>
          </w:p>
        </w:tc>
      </w:tr>
      <w:tr>
        <w:tblPrEx>
          <w:tblLayout w:type="fixed"/>
          <w:tblCellMar>
            <w:top w:w="0" w:type="dxa"/>
            <w:left w:w="108" w:type="dxa"/>
            <w:bottom w:w="0" w:type="dxa"/>
            <w:right w:w="108" w:type="dxa"/>
          </w:tblCellMar>
        </w:tblPrEx>
        <w:trPr>
          <w:trHeight w:val="776" w:hRule="atLeast"/>
          <w:jc w:val="center"/>
        </w:trPr>
        <w:tc>
          <w:tcPr>
            <w:tcW w:w="2323" w:type="dxa"/>
            <w:vMerge w:val="continue"/>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sz w:val="22"/>
                <w:szCs w:val="22"/>
              </w:rPr>
            </w:pP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政府采购信用担保</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有担保需求的，可查询中国湖南政府采购网办事指南专栏中相关业务简介。</w:t>
            </w:r>
          </w:p>
        </w:tc>
      </w:tr>
      <w:tr>
        <w:tblPrEx>
          <w:tblLayout w:type="fixed"/>
          <w:tblCellMar>
            <w:top w:w="0" w:type="dxa"/>
            <w:left w:w="108" w:type="dxa"/>
            <w:bottom w:w="0" w:type="dxa"/>
            <w:right w:w="108" w:type="dxa"/>
          </w:tblCellMar>
        </w:tblPrEx>
        <w:trPr>
          <w:trHeight w:val="1169" w:hRule="atLeast"/>
          <w:jc w:val="center"/>
        </w:trPr>
        <w:tc>
          <w:tcPr>
            <w:tcW w:w="2323" w:type="dxa"/>
            <w:vMerge w:val="continue"/>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sz w:val="22"/>
                <w:szCs w:val="22"/>
              </w:rPr>
            </w:pP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法律、法规、规章和省级以上财政部门规定的其他内容</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宋体"/>
              </w:rPr>
            </w:pPr>
            <w:r>
              <w:rPr>
                <w:rFonts w:hint="eastAsia" w:ascii="宋体" w:hAnsi="宋体" w:cs="宋体"/>
              </w:rPr>
              <w:t>请在财政部门指定媒体上查阅相关信息（www.ccgp-hunan.gov.cn）。</w:t>
            </w:r>
          </w:p>
        </w:tc>
      </w:tr>
      <w:tr>
        <w:tblPrEx>
          <w:tblLayout w:type="fixed"/>
          <w:tblCellMar>
            <w:top w:w="0" w:type="dxa"/>
            <w:left w:w="108" w:type="dxa"/>
            <w:bottom w:w="0" w:type="dxa"/>
            <w:right w:w="108" w:type="dxa"/>
          </w:tblCellMar>
        </w:tblPrEx>
        <w:trPr>
          <w:jc w:val="center"/>
        </w:trPr>
        <w:tc>
          <w:tcPr>
            <w:tcW w:w="10587" w:type="dxa"/>
            <w:gridSpan w:val="3"/>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b/>
                <w:bCs/>
              </w:rPr>
              <w:t>二、谈判文件</w:t>
            </w:r>
          </w:p>
        </w:tc>
      </w:tr>
      <w:tr>
        <w:tblPrEx>
          <w:tblLayout w:type="fixed"/>
          <w:tblCellMar>
            <w:top w:w="0" w:type="dxa"/>
            <w:left w:w="108" w:type="dxa"/>
            <w:bottom w:w="0" w:type="dxa"/>
            <w:right w:w="108" w:type="dxa"/>
          </w:tblCellMar>
        </w:tblPrEx>
        <w:trPr>
          <w:trHeight w:val="746"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10.3</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谈判文件的可能实质性变动内容</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left"/>
              <w:rPr>
                <w:rFonts w:ascii="宋体" w:cs="Times New Roman"/>
              </w:rPr>
            </w:pPr>
            <w:r>
              <w:rPr>
                <w:rFonts w:hint="eastAsia" w:ascii="宋体" w:hAnsi="宋体" w:cs="宋体"/>
              </w:rPr>
              <w:t>否</w:t>
            </w:r>
          </w:p>
        </w:tc>
      </w:tr>
      <w:tr>
        <w:tblPrEx>
          <w:tblLayout w:type="fixed"/>
          <w:tblCellMar>
            <w:top w:w="0" w:type="dxa"/>
            <w:left w:w="108" w:type="dxa"/>
            <w:bottom w:w="0" w:type="dxa"/>
            <w:right w:w="108" w:type="dxa"/>
          </w:tblCellMar>
        </w:tblPrEx>
        <w:trPr>
          <w:trHeight w:val="746"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11.1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提交首次响应文件的截止时间</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left"/>
              <w:rPr>
                <w:rFonts w:ascii="宋体" w:cs="Times New Roman"/>
                <w:color w:val="0C0C0C" w:themeColor="text1" w:themeTint="F2"/>
              </w:rPr>
            </w:pPr>
            <w:r>
              <w:rPr>
                <w:rFonts w:ascii="宋体" w:hAnsi="宋体" w:cs="宋体"/>
                <w:color w:val="0C0C0C" w:themeColor="text1" w:themeTint="F2"/>
              </w:rPr>
              <w:t>201</w:t>
            </w:r>
            <w:r>
              <w:rPr>
                <w:rFonts w:hint="eastAsia" w:ascii="宋体" w:hAnsi="宋体" w:cs="宋体"/>
                <w:color w:val="0C0C0C" w:themeColor="text1" w:themeTint="F2"/>
              </w:rPr>
              <w:t>7 年</w:t>
            </w:r>
            <w:r>
              <w:rPr>
                <w:rFonts w:hint="eastAsia" w:ascii="宋体" w:hAnsi="宋体" w:cs="宋体"/>
                <w:color w:val="0C0C0C" w:themeColor="text1" w:themeTint="F2"/>
                <w:lang w:val="en-US" w:eastAsia="zh-CN"/>
              </w:rPr>
              <w:t>12</w:t>
            </w:r>
            <w:r>
              <w:rPr>
                <w:rFonts w:hint="eastAsia" w:ascii="宋体" w:hAnsi="宋体" w:cs="宋体"/>
                <w:color w:val="0C0C0C" w:themeColor="text1" w:themeTint="F2"/>
              </w:rPr>
              <w:t>月</w:t>
            </w:r>
            <w:r>
              <w:rPr>
                <w:rFonts w:hint="eastAsia" w:ascii="宋体" w:hAnsi="宋体" w:cs="宋体"/>
                <w:color w:val="0C0C0C" w:themeColor="text1" w:themeTint="F2"/>
                <w:lang w:val="en-US" w:eastAsia="zh-CN"/>
              </w:rPr>
              <w:t xml:space="preserve"> 25</w:t>
            </w:r>
            <w:r>
              <w:rPr>
                <w:rFonts w:hint="eastAsia" w:ascii="宋体" w:hAnsi="宋体" w:cs="宋体"/>
                <w:color w:val="0C0C0C" w:themeColor="text1" w:themeTint="F2"/>
              </w:rPr>
              <w:t>日</w:t>
            </w:r>
            <w:r>
              <w:rPr>
                <w:rFonts w:hint="eastAsia" w:ascii="宋体" w:hAnsi="宋体" w:cs="宋体"/>
                <w:color w:val="0C0C0C" w:themeColor="text1" w:themeTint="F2"/>
                <w:lang w:eastAsia="zh-CN"/>
              </w:rPr>
              <w:t>上</w:t>
            </w:r>
            <w:r>
              <w:rPr>
                <w:rFonts w:hint="eastAsia" w:ascii="宋体" w:hAnsi="宋体" w:cs="宋体"/>
                <w:color w:val="0C0C0C" w:themeColor="text1" w:themeTint="F2"/>
              </w:rPr>
              <w:t xml:space="preserve">午 </w:t>
            </w:r>
            <w:r>
              <w:rPr>
                <w:rFonts w:hint="eastAsia" w:ascii="宋体" w:hAnsi="宋体" w:cs="宋体"/>
                <w:color w:val="0C0C0C" w:themeColor="text1" w:themeTint="F2"/>
                <w:lang w:val="en-US" w:eastAsia="zh-CN"/>
              </w:rPr>
              <w:t>9</w:t>
            </w:r>
            <w:r>
              <w:rPr>
                <w:rFonts w:hint="eastAsia" w:ascii="宋体" w:hAnsi="宋体" w:cs="宋体"/>
                <w:color w:val="0C0C0C" w:themeColor="text1" w:themeTint="F2"/>
              </w:rPr>
              <w:t xml:space="preserve"> 时</w:t>
            </w:r>
            <w:r>
              <w:rPr>
                <w:rFonts w:hint="eastAsia" w:ascii="宋体" w:cs="宋体"/>
                <w:color w:val="0C0C0C" w:themeColor="text1" w:themeTint="F2"/>
              </w:rPr>
              <w:t xml:space="preserve"> </w:t>
            </w:r>
            <w:r>
              <w:rPr>
                <w:rFonts w:hint="eastAsia" w:ascii="宋体" w:cs="宋体"/>
                <w:color w:val="0C0C0C" w:themeColor="text1" w:themeTint="F2"/>
                <w:lang w:val="en-US" w:eastAsia="zh-CN"/>
              </w:rPr>
              <w:t>3</w:t>
            </w:r>
            <w:r>
              <w:rPr>
                <w:rFonts w:hint="eastAsia" w:ascii="宋体" w:cs="宋体"/>
                <w:color w:val="0C0C0C" w:themeColor="text1" w:themeTint="F2"/>
              </w:rPr>
              <w:t xml:space="preserve">0 </w:t>
            </w:r>
            <w:r>
              <w:rPr>
                <w:rFonts w:hint="eastAsia" w:ascii="宋体" w:hAnsi="宋体" w:cs="宋体"/>
                <w:color w:val="0C0C0C" w:themeColor="text1" w:themeTint="F2"/>
              </w:rPr>
              <w:t>分</w:t>
            </w:r>
            <w:r>
              <w:rPr>
                <w:rFonts w:ascii="宋体" w:hAnsi="宋体" w:cs="宋体"/>
                <w:color w:val="0C0C0C" w:themeColor="text1" w:themeTint="F2"/>
              </w:rPr>
              <w:t xml:space="preserve"> (</w:t>
            </w:r>
            <w:r>
              <w:rPr>
                <w:rFonts w:hint="eastAsia" w:ascii="宋体" w:hAnsi="宋体" w:cs="宋体"/>
                <w:color w:val="0C0C0C" w:themeColor="text1" w:themeTint="F2"/>
              </w:rPr>
              <w:t>北京时间</w:t>
            </w:r>
            <w:r>
              <w:rPr>
                <w:rFonts w:ascii="宋体" w:hAnsi="宋体" w:cs="宋体"/>
                <w:color w:val="0C0C0C" w:themeColor="text1" w:themeTint="F2"/>
              </w:rPr>
              <w:t>)</w:t>
            </w:r>
          </w:p>
        </w:tc>
      </w:tr>
      <w:tr>
        <w:tblPrEx>
          <w:tblLayout w:type="fixed"/>
          <w:tblCellMar>
            <w:top w:w="0" w:type="dxa"/>
            <w:left w:w="108" w:type="dxa"/>
            <w:bottom w:w="0" w:type="dxa"/>
            <w:right w:w="108" w:type="dxa"/>
          </w:tblCellMar>
        </w:tblPrEx>
        <w:trPr>
          <w:jc w:val="center"/>
        </w:trPr>
        <w:tc>
          <w:tcPr>
            <w:tcW w:w="10587" w:type="dxa"/>
            <w:gridSpan w:val="3"/>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color w:val="0C0C0C" w:themeColor="text1" w:themeTint="F2"/>
              </w:rPr>
            </w:pPr>
            <w:r>
              <w:rPr>
                <w:rFonts w:hint="eastAsia" w:ascii="宋体" w:hAnsi="宋体" w:cs="宋体"/>
                <w:b/>
                <w:bCs/>
                <w:color w:val="0C0C0C" w:themeColor="text1" w:themeTint="F2"/>
              </w:rPr>
              <w:t>三、响应文件的编写</w:t>
            </w:r>
          </w:p>
        </w:tc>
      </w:tr>
      <w:tr>
        <w:tblPrEx>
          <w:tblLayout w:type="fixed"/>
          <w:tblCellMar>
            <w:top w:w="0" w:type="dxa"/>
            <w:left w:w="108" w:type="dxa"/>
            <w:bottom w:w="0" w:type="dxa"/>
            <w:right w:w="108" w:type="dxa"/>
          </w:tblCellMar>
        </w:tblPrEx>
        <w:trPr>
          <w:trHeight w:val="503"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15.</w:t>
            </w:r>
            <w:r>
              <w:rPr>
                <w:rFonts w:hint="eastAsia" w:ascii="宋体" w:hAnsi="宋体" w:cs="宋体"/>
              </w:rPr>
              <w:t>4款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采购项目预算</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color w:val="0C0C0C" w:themeColor="text1" w:themeTint="F2"/>
                <w:u w:val="single"/>
              </w:rPr>
            </w:pPr>
            <w:r>
              <w:rPr>
                <w:rFonts w:hint="eastAsia"/>
                <w:color w:val="0C0C0C" w:themeColor="text1" w:themeTint="F2"/>
              </w:rPr>
              <w:t>本项目预算为：</w:t>
            </w:r>
            <w:r>
              <w:rPr>
                <w:rFonts w:hint="eastAsia"/>
                <w:color w:val="0C0C0C" w:themeColor="text1" w:themeTint="F2"/>
                <w:u w:val="single"/>
              </w:rPr>
              <w:t xml:space="preserve"> </w:t>
            </w:r>
            <w:r>
              <w:rPr>
                <w:rFonts w:hint="eastAsia"/>
                <w:color w:val="0C0C0C" w:themeColor="text1" w:themeTint="F2"/>
                <w:u w:val="single"/>
                <w:lang w:val="en-US" w:eastAsia="zh-CN"/>
              </w:rPr>
              <w:t>38</w:t>
            </w:r>
            <w:r>
              <w:rPr>
                <w:rFonts w:hint="eastAsia"/>
                <w:color w:val="0C0C0C" w:themeColor="text1" w:themeTint="F2"/>
                <w:u w:val="single"/>
              </w:rPr>
              <w:t xml:space="preserve"> </w:t>
            </w:r>
            <w:r>
              <w:rPr>
                <w:rFonts w:hint="eastAsia"/>
                <w:color w:val="0C0C0C" w:themeColor="text1" w:themeTint="F2"/>
                <w:u w:val="none"/>
                <w:lang w:eastAsia="zh-CN"/>
              </w:rPr>
              <w:t>万</w:t>
            </w:r>
            <w:r>
              <w:rPr>
                <w:rFonts w:hint="eastAsia"/>
                <w:color w:val="0C0C0C" w:themeColor="text1" w:themeTint="F2"/>
              </w:rPr>
              <w:t>元。</w:t>
            </w:r>
          </w:p>
        </w:tc>
      </w:tr>
      <w:tr>
        <w:tblPrEx>
          <w:tblLayout w:type="fixed"/>
          <w:tblCellMar>
            <w:top w:w="0" w:type="dxa"/>
            <w:left w:w="108" w:type="dxa"/>
            <w:bottom w:w="0" w:type="dxa"/>
            <w:right w:w="108" w:type="dxa"/>
          </w:tblCellMar>
        </w:tblPrEx>
        <w:trPr>
          <w:trHeight w:val="2302"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17.1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ind w:left="-533" w:firstLine="945" w:firstLineChars="450"/>
              <w:jc w:val="left"/>
              <w:rPr>
                <w:rFonts w:ascii="宋体" w:cs="Times New Roman"/>
              </w:rPr>
            </w:pPr>
            <w:r>
              <w:rPr>
                <w:rFonts w:hint="eastAsia" w:ascii="宋体" w:hAnsi="宋体" w:cs="宋体"/>
              </w:rPr>
              <w:t>保 证 金</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hAnsi="宋体"/>
                <w:color w:val="0C0C0C" w:themeColor="text1" w:themeTint="F2"/>
              </w:rPr>
            </w:pPr>
            <w:r>
              <w:rPr>
                <w:rFonts w:hint="eastAsia" w:ascii="宋体" w:hAnsi="宋体"/>
                <w:color w:val="0C0C0C" w:themeColor="text1" w:themeTint="F2"/>
              </w:rPr>
              <w:t>投标保证金金额为：</w:t>
            </w:r>
            <w:r>
              <w:rPr>
                <w:rFonts w:hint="eastAsia" w:ascii="宋体" w:hAnsi="宋体"/>
                <w:color w:val="0C0C0C" w:themeColor="text1" w:themeTint="F2"/>
                <w:lang w:eastAsia="zh-CN"/>
              </w:rPr>
              <w:t>柒仟陆</w:t>
            </w:r>
            <w:r>
              <w:rPr>
                <w:rFonts w:hint="eastAsia" w:ascii="宋体" w:hAnsi="宋体"/>
                <w:color w:val="0C0C0C" w:themeColor="text1" w:themeTint="F2"/>
              </w:rPr>
              <w:t>佰元</w:t>
            </w:r>
            <w:r>
              <w:rPr>
                <w:rFonts w:hint="eastAsia" w:ascii="宋体" w:hAnsi="宋体"/>
                <w:color w:val="0C0C0C" w:themeColor="text1" w:themeTint="F2"/>
                <w:lang w:eastAsia="zh-CN"/>
              </w:rPr>
              <w:t>整</w:t>
            </w:r>
          </w:p>
          <w:p>
            <w:pPr>
              <w:widowControl/>
              <w:spacing w:line="360" w:lineRule="auto"/>
              <w:jc w:val="left"/>
              <w:rPr>
                <w:rFonts w:hint="eastAsia" w:ascii="宋体" w:hAnsi="宋体" w:cs="宋体"/>
                <w:color w:val="0C0C0C" w:themeColor="text1" w:themeTint="F2"/>
              </w:rPr>
            </w:pPr>
            <w:r>
              <w:rPr>
                <w:rFonts w:hint="eastAsia" w:ascii="宋体" w:hAnsi="宋体" w:cs="宋体"/>
                <w:color w:val="0C0C0C" w:themeColor="text1" w:themeTint="F2"/>
                <w:lang w:val="en-US" w:eastAsia="zh-CN"/>
              </w:rPr>
              <w:t>1、</w:t>
            </w:r>
            <w:r>
              <w:rPr>
                <w:rFonts w:hint="eastAsia" w:ascii="宋体" w:hAnsi="宋体" w:cs="宋体"/>
                <w:color w:val="0C0C0C" w:themeColor="text1" w:themeTint="F2"/>
              </w:rPr>
              <w:t>缴纳时间：2017年</w:t>
            </w:r>
            <w:r>
              <w:rPr>
                <w:rFonts w:hint="eastAsia" w:ascii="宋体" w:hAnsi="宋体" w:cs="宋体"/>
                <w:color w:val="0C0C0C" w:themeColor="text1" w:themeTint="F2"/>
                <w:lang w:val="en-US" w:eastAsia="zh-CN"/>
              </w:rPr>
              <w:t>12</w:t>
            </w:r>
            <w:r>
              <w:rPr>
                <w:rFonts w:hint="eastAsia" w:ascii="宋体" w:hAnsi="宋体" w:cs="宋体"/>
                <w:color w:val="0C0C0C" w:themeColor="text1" w:themeTint="F2"/>
              </w:rPr>
              <w:t>月</w:t>
            </w:r>
            <w:r>
              <w:rPr>
                <w:rFonts w:hint="eastAsia" w:ascii="宋体" w:hAnsi="宋体" w:cs="宋体"/>
                <w:color w:val="0C0C0C" w:themeColor="text1" w:themeTint="F2"/>
                <w:lang w:val="en-US" w:eastAsia="zh-CN"/>
              </w:rPr>
              <w:t xml:space="preserve"> 22 </w:t>
            </w:r>
            <w:r>
              <w:rPr>
                <w:rFonts w:hint="eastAsia" w:ascii="宋体" w:hAnsi="宋体" w:cs="宋体"/>
                <w:color w:val="0C0C0C" w:themeColor="text1" w:themeTint="F2"/>
              </w:rPr>
              <w:t>日上午12时前（含）（北京时间），以岳阳市公共资源交易中心保证金支付系统到账时间为准。（保证金咨询电话：0730-8882193）</w:t>
            </w:r>
          </w:p>
          <w:p>
            <w:pPr>
              <w:widowControl/>
              <w:spacing w:line="360" w:lineRule="auto"/>
              <w:jc w:val="left"/>
              <w:rPr>
                <w:rFonts w:hint="eastAsia" w:ascii="宋体" w:hAnsi="宋体" w:cs="宋体"/>
                <w:color w:val="0C0C0C" w:themeColor="text1" w:themeTint="F2"/>
              </w:rPr>
            </w:pPr>
            <w:r>
              <w:rPr>
                <w:rFonts w:hint="eastAsia" w:ascii="宋体" w:hAnsi="宋体" w:cs="宋体"/>
                <w:color w:val="0C0C0C" w:themeColor="text1" w:themeTint="F2"/>
                <w:lang w:val="en-US" w:eastAsia="zh-CN"/>
              </w:rPr>
              <w:t>2、</w:t>
            </w:r>
            <w:r>
              <w:rPr>
                <w:rFonts w:hint="eastAsia" w:ascii="宋体" w:hAnsi="宋体" w:cs="宋体"/>
                <w:color w:val="0C0C0C" w:themeColor="text1" w:themeTint="F2"/>
              </w:rPr>
              <w:t>缴纳方式：投标保证金应以投标人银行账户转账等非现金形式递交。</w:t>
            </w:r>
          </w:p>
          <w:p>
            <w:pPr>
              <w:widowControl/>
              <w:spacing w:line="360" w:lineRule="auto"/>
              <w:ind w:firstLine="210" w:firstLineChars="100"/>
              <w:jc w:val="left"/>
              <w:rPr>
                <w:rFonts w:hint="eastAsia" w:ascii="宋体" w:hAnsi="宋体" w:cs="宋体"/>
                <w:color w:val="0C0C0C" w:themeColor="text1" w:themeTint="F2"/>
              </w:rPr>
            </w:pPr>
            <w:r>
              <w:rPr>
                <w:rFonts w:hint="eastAsia" w:ascii="宋体" w:hAnsi="宋体" w:cs="宋体"/>
                <w:color w:val="0C0C0C" w:themeColor="text1" w:themeTint="F2"/>
              </w:rPr>
              <w:t>账户名：岳阳市公共资源交易中心。</w:t>
            </w:r>
          </w:p>
          <w:p>
            <w:pPr>
              <w:widowControl/>
              <w:spacing w:line="360" w:lineRule="auto"/>
              <w:ind w:firstLine="210" w:firstLineChars="100"/>
              <w:jc w:val="left"/>
              <w:rPr>
                <w:rFonts w:hint="eastAsia" w:ascii="宋体" w:hAnsi="宋体" w:cs="宋体"/>
                <w:color w:val="0C0C0C" w:themeColor="text1" w:themeTint="F2"/>
              </w:rPr>
            </w:pPr>
            <w:r>
              <w:rPr>
                <w:rFonts w:hint="eastAsia" w:ascii="宋体" w:hAnsi="宋体" w:cs="宋体"/>
                <w:color w:val="0C0C0C" w:themeColor="text1" w:themeTint="F2"/>
              </w:rPr>
              <w:t>开户行：投标人在网上可自行选择保证金专户银行账户</w:t>
            </w:r>
          </w:p>
          <w:p>
            <w:pPr>
              <w:widowControl/>
              <w:spacing w:line="360" w:lineRule="auto"/>
              <w:ind w:firstLine="210" w:firstLineChars="100"/>
              <w:jc w:val="left"/>
              <w:rPr>
                <w:rFonts w:hint="eastAsia" w:ascii="宋体" w:hAnsi="宋体" w:cs="宋体"/>
                <w:color w:val="0C0C0C" w:themeColor="text1" w:themeTint="F2"/>
              </w:rPr>
            </w:pPr>
            <w:r>
              <w:rPr>
                <w:rFonts w:hint="eastAsia" w:ascii="宋体" w:hAnsi="宋体" w:cs="宋体"/>
                <w:color w:val="0C0C0C" w:themeColor="text1" w:themeTint="F2"/>
              </w:rPr>
              <w:t>账 号：投标人随机获取对应本项目（标段）投标保证金子账号</w:t>
            </w:r>
          </w:p>
          <w:p>
            <w:pPr>
              <w:widowControl/>
              <w:spacing w:line="360" w:lineRule="auto"/>
              <w:jc w:val="left"/>
              <w:rPr>
                <w:rFonts w:hint="eastAsia" w:ascii="宋体" w:hAnsi="宋体" w:cs="宋体"/>
                <w:color w:val="0C0C0C" w:themeColor="text1" w:themeTint="F2"/>
              </w:rPr>
            </w:pPr>
            <w:r>
              <w:rPr>
                <w:rFonts w:hint="eastAsia" w:ascii="宋体" w:hAnsi="宋体" w:cs="宋体"/>
                <w:color w:val="0C0C0C" w:themeColor="text1" w:themeTint="F2"/>
                <w:lang w:eastAsia="zh-CN"/>
              </w:rPr>
              <w:t>（</w:t>
            </w:r>
            <w:r>
              <w:rPr>
                <w:rFonts w:hint="eastAsia" w:ascii="宋体" w:hAnsi="宋体" w:cs="宋体"/>
                <w:color w:val="0C0C0C" w:themeColor="text1" w:themeTint="F2"/>
              </w:rPr>
              <w:t>1）投标人在岳阳市公共资源交易网（ggzy.yueyang.gov.cn）选择“投标单位登入”（首次登入需注册,完成注册并绑定投标人CA等相关手续后进入交易系统），投标人选择对应项目进行投标操作，生成对应本项目（标段）的投标诚信保证金子账号。该账号为投标人缴纳本项目（标段）投标保证金的唯一账号，请注意保密。（投标人必须办理湖南CA数字证书才能完成登入及后续操作）</w:t>
            </w:r>
          </w:p>
          <w:p>
            <w:pPr>
              <w:widowControl/>
              <w:spacing w:line="360" w:lineRule="auto"/>
              <w:jc w:val="left"/>
              <w:rPr>
                <w:rFonts w:hint="eastAsia" w:ascii="宋体" w:hAnsi="宋体" w:cs="宋体"/>
                <w:color w:val="0C0C0C" w:themeColor="text1" w:themeTint="F2"/>
              </w:rPr>
            </w:pPr>
            <w:r>
              <w:rPr>
                <w:rFonts w:hint="eastAsia" w:ascii="宋体" w:hAnsi="宋体" w:cs="宋体"/>
                <w:color w:val="0C0C0C" w:themeColor="text1" w:themeTint="F2"/>
                <w:lang w:eastAsia="zh-CN"/>
              </w:rPr>
              <w:t>（</w:t>
            </w:r>
            <w:r>
              <w:rPr>
                <w:rFonts w:hint="eastAsia" w:ascii="宋体" w:hAnsi="宋体" w:cs="宋体"/>
                <w:color w:val="0C0C0C" w:themeColor="text1" w:themeTint="F2"/>
              </w:rPr>
              <w:t>2）投标人在提交保证金时，应按照随机获取的保证金子账号信息准确填写银行账单（投标保证金只能从投标人的银行基本户转出），投标人可通过登入系统查询保证金到账及退还情况。</w:t>
            </w:r>
          </w:p>
          <w:p>
            <w:pPr>
              <w:widowControl/>
              <w:spacing w:line="360" w:lineRule="auto"/>
              <w:jc w:val="left"/>
              <w:rPr>
                <w:rFonts w:hint="eastAsia" w:ascii="宋体" w:hAnsi="宋体" w:cs="宋体"/>
                <w:color w:val="0C0C0C" w:themeColor="text1" w:themeTint="F2"/>
              </w:rPr>
            </w:pPr>
            <w:r>
              <w:rPr>
                <w:rFonts w:hint="eastAsia" w:ascii="宋体" w:hAnsi="宋体" w:cs="宋体"/>
                <w:color w:val="0C0C0C" w:themeColor="text1" w:themeTint="F2"/>
                <w:lang w:eastAsia="zh-CN"/>
              </w:rPr>
              <w:t>（</w:t>
            </w:r>
            <w:r>
              <w:rPr>
                <w:rFonts w:hint="eastAsia" w:ascii="宋体" w:hAnsi="宋体" w:cs="宋体"/>
                <w:color w:val="0C0C0C" w:themeColor="text1" w:themeTint="F2"/>
              </w:rPr>
              <w:t>3）CA数字证书办理</w:t>
            </w:r>
          </w:p>
          <w:p>
            <w:pPr>
              <w:widowControl/>
              <w:spacing w:line="360" w:lineRule="auto"/>
              <w:jc w:val="left"/>
              <w:rPr>
                <w:rFonts w:ascii="宋体" w:hAnsi="宋体"/>
                <w:color w:val="0C0C0C" w:themeColor="text1" w:themeTint="F2"/>
              </w:rPr>
            </w:pPr>
            <w:r>
              <w:rPr>
                <w:rFonts w:hint="eastAsia" w:ascii="宋体" w:hAnsi="宋体" w:cs="宋体"/>
                <w:color w:val="0C0C0C" w:themeColor="text1" w:themeTint="F2"/>
              </w:rPr>
              <w:t>岳阳市公共资源交易中心404室（岳阳市政府政务服务中心4楼）电话：0730-8181828。</w:t>
            </w:r>
          </w:p>
        </w:tc>
      </w:tr>
      <w:tr>
        <w:tblPrEx>
          <w:tblLayout w:type="fixed"/>
          <w:tblCellMar>
            <w:top w:w="0" w:type="dxa"/>
            <w:left w:w="108" w:type="dxa"/>
            <w:bottom w:w="0" w:type="dxa"/>
            <w:right w:w="108" w:type="dxa"/>
          </w:tblCellMar>
        </w:tblPrEx>
        <w:trPr>
          <w:trHeight w:val="901"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hAnsi="宋体" w:cs="宋体"/>
              </w:rPr>
            </w:pPr>
            <w:r>
              <w:rPr>
                <w:rFonts w:hint="eastAsia" w:ascii="宋体" w:hAnsi="宋体" w:cs="宋体"/>
              </w:rPr>
              <w:t>第二章15.5款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spacing w:beforeLines="50" w:line="360" w:lineRule="auto"/>
              <w:rPr>
                <w:rFonts w:ascii="宋体" w:hAnsi="宋体" w:cs="宋体"/>
                <w:color w:val="0C0C0C" w:themeColor="text1" w:themeTint="F2"/>
              </w:rPr>
            </w:pPr>
            <w:r>
              <w:rPr>
                <w:rFonts w:hint="eastAsia" w:ascii="宋体" w:hAnsi="宋体" w:cs="宋体"/>
                <w:color w:val="0C0C0C" w:themeColor="text1" w:themeTint="F2"/>
              </w:rPr>
              <w:t>备选方案</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adjustRightInd w:val="0"/>
              <w:snapToGrid w:val="0"/>
              <w:rPr>
                <w:rFonts w:ascii="宋体" w:hAnsi="宋体"/>
                <w:color w:val="0C0C0C" w:themeColor="text1" w:themeTint="F2"/>
              </w:rPr>
            </w:pPr>
            <w:r>
              <w:rPr>
                <w:rFonts w:hint="eastAsia" w:ascii="仿宋" w:hAnsi="仿宋" w:eastAsia="仿宋"/>
                <w:color w:val="0C0C0C" w:themeColor="text1" w:themeTint="F2"/>
              </w:rPr>
              <w:t xml:space="preserve">√ </w:t>
            </w:r>
            <w:r>
              <w:rPr>
                <w:rFonts w:hint="eastAsia" w:ascii="宋体" w:hAnsi="宋体"/>
                <w:color w:val="0C0C0C" w:themeColor="text1" w:themeTint="F2"/>
              </w:rPr>
              <w:t>不接受</w:t>
            </w:r>
          </w:p>
          <w:p>
            <w:pPr>
              <w:adjustRightInd w:val="0"/>
              <w:snapToGrid w:val="0"/>
              <w:rPr>
                <w:rFonts w:ascii="宋体" w:hAnsi="宋体"/>
                <w:color w:val="0C0C0C" w:themeColor="text1" w:themeTint="F2"/>
              </w:rPr>
            </w:pPr>
          </w:p>
          <w:p>
            <w:pPr>
              <w:adjustRightInd w:val="0"/>
              <w:snapToGrid w:val="0"/>
              <w:rPr>
                <w:rFonts w:ascii="宋体" w:hAnsi="宋体"/>
                <w:color w:val="0C0C0C" w:themeColor="text1" w:themeTint="F2"/>
              </w:rPr>
            </w:pPr>
            <w:r>
              <w:rPr>
                <w:rFonts w:hint="eastAsia" w:ascii="宋体" w:hAnsi="宋体"/>
                <w:color w:val="0C0C0C" w:themeColor="text1" w:themeTint="F2"/>
              </w:rPr>
              <w:t>□ 接受</w:t>
            </w:r>
          </w:p>
        </w:tc>
      </w:tr>
      <w:tr>
        <w:tblPrEx>
          <w:tblLayout w:type="fixed"/>
          <w:tblCellMar>
            <w:top w:w="0" w:type="dxa"/>
            <w:left w:w="108" w:type="dxa"/>
            <w:bottom w:w="0" w:type="dxa"/>
            <w:right w:w="108" w:type="dxa"/>
          </w:tblCellMar>
        </w:tblPrEx>
        <w:trPr>
          <w:trHeight w:val="545" w:hRule="atLeast"/>
          <w:jc w:val="center"/>
        </w:trPr>
        <w:tc>
          <w:tcPr>
            <w:tcW w:w="2323"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1</w:t>
            </w:r>
            <w:r>
              <w:rPr>
                <w:rFonts w:hint="eastAsia" w:ascii="宋体" w:hAnsi="宋体" w:cs="宋体"/>
              </w:rPr>
              <w:t>8</w:t>
            </w:r>
            <w:r>
              <w:rPr>
                <w:rFonts w:ascii="宋体" w:hAnsi="宋体" w:cs="宋体"/>
              </w:rPr>
              <w:t>.1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响应文件有效期</w:t>
            </w:r>
          </w:p>
        </w:tc>
        <w:tc>
          <w:tcPr>
            <w:tcW w:w="6142"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lang w:val="en-US" w:eastAsia="zh-CN"/>
              </w:rPr>
              <w:t>9</w:t>
            </w:r>
            <w:r>
              <w:rPr>
                <w:rFonts w:ascii="宋体" w:hAnsi="宋体" w:cs="宋体"/>
              </w:rPr>
              <w:t>0</w:t>
            </w:r>
            <w:r>
              <w:rPr>
                <w:rFonts w:hint="eastAsia" w:ascii="宋体" w:hAnsi="宋体" w:cs="宋体"/>
              </w:rPr>
              <w:t>日（日历日）</w:t>
            </w:r>
          </w:p>
        </w:tc>
      </w:tr>
      <w:tr>
        <w:tblPrEx>
          <w:tblLayout w:type="fixed"/>
          <w:tblCellMar>
            <w:top w:w="0" w:type="dxa"/>
            <w:left w:w="108" w:type="dxa"/>
            <w:bottom w:w="0" w:type="dxa"/>
            <w:right w:w="108" w:type="dxa"/>
          </w:tblCellMar>
        </w:tblPrEx>
        <w:trPr>
          <w:trHeight w:val="630" w:hRule="atLeast"/>
          <w:jc w:val="center"/>
        </w:trPr>
        <w:tc>
          <w:tcPr>
            <w:tcW w:w="2323" w:type="dxa"/>
            <w:tcBorders>
              <w:top w:val="single" w:color="auto"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hAnsi="宋体" w:cs="宋体"/>
              </w:rPr>
            </w:pPr>
            <w:r>
              <w:rPr>
                <w:rFonts w:hint="eastAsia" w:ascii="宋体" w:hAnsi="宋体" w:cs="宋体"/>
              </w:rPr>
              <w:t>第二章第19.1款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hAnsi="宋体" w:cs="宋体"/>
              </w:rPr>
            </w:pPr>
            <w:r>
              <w:rPr>
                <w:rFonts w:hint="eastAsia" w:ascii="宋体" w:hAnsi="宋体" w:cs="宋体"/>
              </w:rPr>
              <w:t>响应文件份数</w:t>
            </w:r>
          </w:p>
        </w:tc>
        <w:tc>
          <w:tcPr>
            <w:tcW w:w="6142" w:type="dxa"/>
            <w:tcBorders>
              <w:top w:val="single" w:color="auto"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hAnsi="宋体" w:cs="宋体"/>
              </w:rPr>
            </w:pPr>
            <w:r>
              <w:rPr>
                <w:rFonts w:hint="eastAsia" w:ascii="宋体" w:hAnsi="宋体" w:cs="宋体"/>
              </w:rPr>
              <w:t>壹份正本，贰份副本</w:t>
            </w:r>
          </w:p>
        </w:tc>
      </w:tr>
      <w:tr>
        <w:tblPrEx>
          <w:tblLayout w:type="fixed"/>
          <w:tblCellMar>
            <w:top w:w="0" w:type="dxa"/>
            <w:left w:w="108" w:type="dxa"/>
            <w:bottom w:w="0" w:type="dxa"/>
            <w:right w:w="108" w:type="dxa"/>
          </w:tblCellMar>
        </w:tblPrEx>
        <w:trPr>
          <w:trHeight w:val="378" w:hRule="atLeast"/>
          <w:jc w:val="center"/>
        </w:trPr>
        <w:tc>
          <w:tcPr>
            <w:tcW w:w="10587" w:type="dxa"/>
            <w:gridSpan w:val="3"/>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b/>
                <w:bCs/>
              </w:rPr>
              <w:t>四、响应文件的递交</w:t>
            </w:r>
          </w:p>
        </w:tc>
      </w:tr>
      <w:tr>
        <w:tblPrEx>
          <w:tblLayout w:type="fixed"/>
          <w:tblCellMar>
            <w:top w:w="0" w:type="dxa"/>
            <w:left w:w="108" w:type="dxa"/>
            <w:bottom w:w="0" w:type="dxa"/>
            <w:right w:w="108" w:type="dxa"/>
          </w:tblCellMar>
        </w:tblPrEx>
        <w:trPr>
          <w:trHeight w:val="2090"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20.2</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封套上应载明的信息</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before="156" w:line="360" w:lineRule="auto"/>
              <w:rPr>
                <w:rFonts w:hint="eastAsia" w:ascii="宋体" w:hAnsi="宋体"/>
                <w:iCs/>
                <w:lang w:eastAsia="zh-CN"/>
              </w:rPr>
            </w:pPr>
            <w:r>
              <w:rPr>
                <w:rFonts w:hint="eastAsia" w:ascii="宋体" w:hAnsi="宋体"/>
                <w:iCs/>
                <w:lang w:eastAsia="zh-CN"/>
              </w:rPr>
              <w:t>华容县农业局编印“三农”政策科技宣传资料</w:t>
            </w:r>
          </w:p>
          <w:p>
            <w:pPr>
              <w:spacing w:before="156" w:line="360" w:lineRule="auto"/>
              <w:rPr>
                <w:rFonts w:hint="eastAsia" w:ascii="宋体" w:hAnsi="宋体" w:cs="宋体"/>
                <w:lang w:val="en-US" w:eastAsia="zh-CN"/>
              </w:rPr>
            </w:pPr>
            <w:r>
              <w:rPr>
                <w:rFonts w:hint="eastAsia" w:ascii="宋体" w:hAnsi="宋体" w:cs="宋体"/>
                <w:lang w:eastAsia="zh-CN"/>
              </w:rPr>
              <w:t>政府采购</w:t>
            </w:r>
            <w:r>
              <w:rPr>
                <w:rFonts w:hint="eastAsia" w:ascii="宋体" w:hAnsi="宋体" w:cs="宋体"/>
              </w:rPr>
              <w:t>编号：</w:t>
            </w:r>
            <w:r>
              <w:rPr>
                <w:rFonts w:hint="eastAsia" w:ascii="宋体" w:hAnsi="宋体" w:cs="宋体"/>
                <w:lang w:eastAsia="zh-CN"/>
              </w:rPr>
              <w:t>华财采计【</w:t>
            </w:r>
            <w:r>
              <w:rPr>
                <w:rFonts w:hint="eastAsia" w:ascii="宋体" w:hAnsi="宋体" w:cs="宋体"/>
                <w:lang w:val="en-US" w:eastAsia="zh-CN"/>
              </w:rPr>
              <w:t>2017</w:t>
            </w:r>
            <w:r>
              <w:rPr>
                <w:rFonts w:hint="eastAsia" w:ascii="宋体" w:hAnsi="宋体" w:cs="宋体"/>
                <w:lang w:eastAsia="zh-CN"/>
              </w:rPr>
              <w:t>】</w:t>
            </w:r>
            <w:r>
              <w:rPr>
                <w:rFonts w:hint="eastAsia" w:ascii="宋体" w:hAnsi="宋体" w:cs="宋体"/>
                <w:lang w:val="en-US" w:eastAsia="zh-CN"/>
              </w:rPr>
              <w:t>376号</w:t>
            </w:r>
          </w:p>
          <w:p>
            <w:pPr>
              <w:spacing w:before="156" w:line="360" w:lineRule="auto"/>
              <w:rPr>
                <w:rFonts w:hint="eastAsia" w:ascii="宋体" w:hAnsi="宋体" w:cs="宋体"/>
                <w:lang w:val="en-US" w:eastAsia="zh-CN"/>
              </w:rPr>
            </w:pPr>
            <w:r>
              <w:rPr>
                <w:rFonts w:hint="eastAsia" w:ascii="宋体" w:hAnsi="宋体" w:cs="宋体"/>
                <w:lang w:val="en-US" w:eastAsia="zh-CN"/>
              </w:rPr>
              <w:t>委托代理编号：</w:t>
            </w:r>
            <w:r>
              <w:rPr>
                <w:rFonts w:hint="eastAsia" w:ascii="宋体" w:hAnsi="宋体" w:cs="宋体"/>
                <w:lang w:eastAsia="zh-CN"/>
              </w:rPr>
              <w:t>HNXZ-2017-YY-RKZB-1300</w:t>
            </w:r>
          </w:p>
          <w:p>
            <w:pPr>
              <w:spacing w:line="360" w:lineRule="auto"/>
              <w:rPr>
                <w:rFonts w:ascii="宋体" w:cs="Times New Roman"/>
              </w:rPr>
            </w:pPr>
            <w:r>
              <w:rPr>
                <w:rFonts w:hint="eastAsia" w:ascii="宋体" w:hAnsi="宋体" w:cs="宋体"/>
              </w:rPr>
              <w:t>在</w:t>
            </w:r>
            <w:r>
              <w:rPr>
                <w:rFonts w:ascii="宋体" w:hAnsi="宋体" w:cs="宋体"/>
                <w:color w:val="000000"/>
              </w:rPr>
              <w:t>201</w:t>
            </w:r>
            <w:r>
              <w:rPr>
                <w:rFonts w:hint="eastAsia" w:ascii="宋体" w:hAnsi="宋体" w:cs="宋体"/>
                <w:color w:val="0C0C0C" w:themeColor="text1" w:themeTint="F2"/>
              </w:rPr>
              <w:t>7年</w:t>
            </w:r>
            <w:r>
              <w:rPr>
                <w:rFonts w:hint="eastAsia" w:ascii="宋体" w:hAnsi="宋体" w:cs="宋体"/>
                <w:color w:val="0C0C0C" w:themeColor="text1" w:themeTint="F2"/>
                <w:lang w:val="en-US" w:eastAsia="zh-CN"/>
              </w:rPr>
              <w:t>12</w:t>
            </w:r>
            <w:r>
              <w:rPr>
                <w:rFonts w:hint="eastAsia" w:ascii="宋体" w:hAnsi="宋体" w:cs="宋体"/>
                <w:color w:val="0C0C0C" w:themeColor="text1" w:themeTint="F2"/>
              </w:rPr>
              <w:t>月</w:t>
            </w:r>
            <w:r>
              <w:rPr>
                <w:rFonts w:hint="eastAsia" w:ascii="宋体" w:hAnsi="宋体" w:cs="宋体"/>
                <w:color w:val="0C0C0C" w:themeColor="text1" w:themeTint="F2"/>
                <w:lang w:val="en-US" w:eastAsia="zh-CN"/>
              </w:rPr>
              <w:t>25</w:t>
            </w:r>
            <w:r>
              <w:rPr>
                <w:rFonts w:hint="eastAsia" w:ascii="宋体" w:hAnsi="宋体" w:cs="宋体"/>
                <w:color w:val="0C0C0C" w:themeColor="text1" w:themeTint="F2"/>
              </w:rPr>
              <w:t>日</w:t>
            </w:r>
            <w:r>
              <w:rPr>
                <w:rFonts w:hint="eastAsia" w:ascii="宋体" w:hAnsi="宋体" w:cs="宋体"/>
                <w:color w:val="0C0C0C" w:themeColor="text1" w:themeTint="F2"/>
                <w:lang w:eastAsia="zh-CN"/>
              </w:rPr>
              <w:t>上</w:t>
            </w:r>
            <w:r>
              <w:rPr>
                <w:rFonts w:hint="eastAsia" w:ascii="宋体" w:hAnsi="宋体" w:cs="宋体"/>
                <w:color w:val="0C0C0C" w:themeColor="text1" w:themeTint="F2"/>
              </w:rPr>
              <w:t>午</w:t>
            </w:r>
            <w:r>
              <w:rPr>
                <w:rFonts w:hint="eastAsia" w:ascii="宋体" w:hAnsi="宋体" w:cs="宋体"/>
                <w:color w:val="0C0C0C" w:themeColor="text1" w:themeTint="F2"/>
                <w:lang w:val="en-US" w:eastAsia="zh-CN"/>
              </w:rPr>
              <w:t>9</w:t>
            </w:r>
            <w:r>
              <w:rPr>
                <w:rFonts w:hint="eastAsia" w:ascii="宋体" w:hAnsi="宋体" w:cs="宋体"/>
                <w:color w:val="0C0C0C" w:themeColor="text1" w:themeTint="F2"/>
              </w:rPr>
              <w:t>点</w:t>
            </w:r>
            <w:r>
              <w:rPr>
                <w:rFonts w:hint="eastAsia" w:ascii="宋体" w:hAnsi="宋体" w:cs="宋体"/>
                <w:color w:val="0C0C0C" w:themeColor="text1" w:themeTint="F2"/>
                <w:lang w:val="en-US" w:eastAsia="zh-CN"/>
              </w:rPr>
              <w:t>3</w:t>
            </w:r>
            <w:r>
              <w:rPr>
                <w:rFonts w:hint="eastAsia" w:ascii="宋体" w:hAnsi="宋体" w:cs="宋体"/>
                <w:color w:val="0C0C0C" w:themeColor="text1" w:themeTint="F2"/>
              </w:rPr>
              <w:t>0分之前</w:t>
            </w:r>
            <w:r>
              <w:rPr>
                <w:rFonts w:hint="eastAsia" w:ascii="宋体" w:hAnsi="宋体" w:cs="宋体"/>
              </w:rPr>
              <w:t>不得启封</w:t>
            </w:r>
          </w:p>
        </w:tc>
      </w:tr>
      <w:tr>
        <w:tblPrEx>
          <w:tblLayout w:type="fixed"/>
          <w:tblCellMar>
            <w:top w:w="0" w:type="dxa"/>
            <w:left w:w="108" w:type="dxa"/>
            <w:bottom w:w="0" w:type="dxa"/>
            <w:right w:w="108" w:type="dxa"/>
          </w:tblCellMar>
        </w:tblPrEx>
        <w:trPr>
          <w:trHeight w:val="618"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22.1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响应文件的递交地点</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color w:val="FF0000"/>
              </w:rPr>
            </w:pPr>
            <w:r>
              <w:rPr>
                <w:rFonts w:hint="eastAsia" w:ascii="宋体" w:hAnsi="宋体"/>
                <w:iCs/>
              </w:rPr>
              <w:t>岳阳市公共资源交易中心（岳阳楼区五里牌政务中心四楼）</w:t>
            </w:r>
          </w:p>
        </w:tc>
      </w:tr>
      <w:tr>
        <w:tblPrEx>
          <w:tblLayout w:type="fixed"/>
          <w:tblCellMar>
            <w:top w:w="0" w:type="dxa"/>
            <w:left w:w="108" w:type="dxa"/>
            <w:bottom w:w="0" w:type="dxa"/>
            <w:right w:w="108" w:type="dxa"/>
          </w:tblCellMar>
        </w:tblPrEx>
        <w:trPr>
          <w:trHeight w:val="518" w:hRule="atLeast"/>
          <w:jc w:val="center"/>
        </w:trPr>
        <w:tc>
          <w:tcPr>
            <w:tcW w:w="10587" w:type="dxa"/>
            <w:gridSpan w:val="3"/>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b/>
                <w:bCs/>
                <w:lang w:eastAsia="zh-CN"/>
              </w:rPr>
              <w:t>六</w:t>
            </w:r>
            <w:r>
              <w:rPr>
                <w:rFonts w:hint="eastAsia" w:ascii="宋体" w:hAnsi="宋体" w:cs="宋体"/>
                <w:b/>
                <w:bCs/>
              </w:rPr>
              <w:t>、成交结果信息公布与供应商质疑</w:t>
            </w:r>
          </w:p>
        </w:tc>
      </w:tr>
      <w:tr>
        <w:tblPrEx>
          <w:tblLayout w:type="fixed"/>
          <w:tblCellMar>
            <w:top w:w="0" w:type="dxa"/>
            <w:left w:w="108" w:type="dxa"/>
            <w:bottom w:w="0" w:type="dxa"/>
            <w:right w:w="108" w:type="dxa"/>
          </w:tblCellMar>
        </w:tblPrEx>
        <w:trPr>
          <w:trHeight w:val="718"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36.1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财政部门指定的媒体</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中国</w:t>
            </w:r>
            <w:r>
              <w:rPr>
                <w:rFonts w:hint="eastAsia" w:ascii="宋体" w:cs="宋体"/>
              </w:rPr>
              <w:t>·</w:t>
            </w:r>
            <w:r>
              <w:rPr>
                <w:rFonts w:hint="eastAsia" w:ascii="宋体" w:hAnsi="宋体" w:cs="宋体"/>
              </w:rPr>
              <w:t>湖南岳阳市政府采购网（</w:t>
            </w:r>
            <w:r>
              <w:rPr>
                <w:rFonts w:ascii="宋体" w:hAnsi="宋体" w:cs="宋体"/>
              </w:rPr>
              <w:t>www.ccgp-hunan.gov.cn</w:t>
            </w:r>
            <w:r>
              <w:rPr>
                <w:rFonts w:hint="eastAsia" w:ascii="宋体" w:hAnsi="宋体" w:cs="宋体"/>
              </w:rPr>
              <w:t>）</w:t>
            </w:r>
          </w:p>
        </w:tc>
      </w:tr>
      <w:tr>
        <w:tblPrEx>
          <w:tblLayout w:type="fixed"/>
          <w:tblCellMar>
            <w:top w:w="0" w:type="dxa"/>
            <w:left w:w="108" w:type="dxa"/>
            <w:bottom w:w="0" w:type="dxa"/>
            <w:right w:w="108" w:type="dxa"/>
          </w:tblCellMar>
        </w:tblPrEx>
        <w:trPr>
          <w:trHeight w:val="593"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38.3</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color w:val="0C0C0C" w:themeColor="text1" w:themeTint="F2"/>
              </w:rPr>
            </w:pPr>
            <w:r>
              <w:rPr>
                <w:rFonts w:hint="eastAsia" w:ascii="宋体" w:hAnsi="宋体" w:cs="宋体"/>
                <w:color w:val="0C0C0C" w:themeColor="text1" w:themeTint="F2"/>
              </w:rPr>
              <w:t>履约担保</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hint="eastAsia" w:ascii="宋体" w:hAnsi="宋体"/>
                <w:color w:val="0C0C0C" w:themeColor="text1" w:themeTint="F2"/>
                <w:lang w:eastAsia="zh-CN"/>
              </w:rPr>
            </w:pPr>
            <w:r>
              <w:rPr>
                <w:rFonts w:hint="default" w:ascii="Arial" w:hAnsi="Arial" w:cs="Arial"/>
                <w:color w:val="0C0C0C" w:themeColor="text1" w:themeTint="F2"/>
              </w:rPr>
              <w:t>√</w:t>
            </w:r>
            <w:r>
              <w:rPr>
                <w:rFonts w:hint="eastAsia" w:ascii="宋体" w:hAnsi="宋体"/>
                <w:color w:val="0C0C0C" w:themeColor="text1" w:themeTint="F2"/>
                <w:lang w:val="en-US" w:eastAsia="zh-CN"/>
              </w:rPr>
              <w:t xml:space="preserve"> </w:t>
            </w:r>
            <w:r>
              <w:rPr>
                <w:rFonts w:hint="eastAsia" w:ascii="宋体" w:hAnsi="宋体"/>
                <w:color w:val="0C0C0C" w:themeColor="text1" w:themeTint="F2"/>
                <w:lang w:eastAsia="zh-CN"/>
              </w:rPr>
              <w:t>不需要提供</w:t>
            </w:r>
          </w:p>
          <w:p>
            <w:pPr>
              <w:spacing w:line="360" w:lineRule="auto"/>
              <w:rPr>
                <w:rFonts w:ascii="宋体" w:cs="宋体"/>
                <w:color w:val="0C0C0C" w:themeColor="text1" w:themeTint="F2"/>
              </w:rPr>
            </w:pPr>
            <w:r>
              <w:rPr>
                <w:rFonts w:hint="eastAsia" w:ascii="宋体" w:hAnsi="宋体"/>
                <w:color w:val="0C0C0C" w:themeColor="text1" w:themeTint="F2"/>
              </w:rPr>
              <w:t>□</w:t>
            </w:r>
            <w:r>
              <w:rPr>
                <w:rFonts w:hint="eastAsia" w:ascii="宋体" w:hAnsi="宋体"/>
                <w:color w:val="0C0C0C" w:themeColor="text1" w:themeTint="F2"/>
                <w:lang w:val="en-US" w:eastAsia="zh-CN"/>
              </w:rPr>
              <w:t xml:space="preserve"> </w:t>
            </w:r>
            <w:r>
              <w:rPr>
                <w:rFonts w:hint="eastAsia" w:ascii="宋体" w:hAnsi="宋体"/>
                <w:color w:val="0C0C0C" w:themeColor="text1" w:themeTint="F2"/>
              </w:rPr>
              <w:t>要求提供</w:t>
            </w:r>
          </w:p>
        </w:tc>
      </w:tr>
      <w:tr>
        <w:tblPrEx>
          <w:tblLayout w:type="fixed"/>
          <w:tblCellMar>
            <w:top w:w="0" w:type="dxa"/>
            <w:left w:w="108" w:type="dxa"/>
            <w:bottom w:w="0" w:type="dxa"/>
            <w:right w:w="108" w:type="dxa"/>
          </w:tblCellMar>
        </w:tblPrEx>
        <w:trPr>
          <w:jc w:val="center"/>
        </w:trPr>
        <w:tc>
          <w:tcPr>
            <w:tcW w:w="10587" w:type="dxa"/>
            <w:gridSpan w:val="3"/>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b/>
                <w:bCs/>
                <w:lang w:eastAsia="zh-CN"/>
              </w:rPr>
              <w:t>七</w:t>
            </w:r>
            <w:r>
              <w:rPr>
                <w:rFonts w:hint="eastAsia" w:ascii="宋体" w:hAnsi="宋体" w:cs="宋体"/>
                <w:b/>
                <w:bCs/>
              </w:rPr>
              <w:t>、其他规定</w:t>
            </w:r>
          </w:p>
        </w:tc>
      </w:tr>
      <w:tr>
        <w:tblPrEx>
          <w:tblLayout w:type="fixed"/>
          <w:tblCellMar>
            <w:top w:w="0" w:type="dxa"/>
            <w:left w:w="108" w:type="dxa"/>
            <w:bottom w:w="0" w:type="dxa"/>
            <w:right w:w="108" w:type="dxa"/>
          </w:tblCellMar>
        </w:tblPrEx>
        <w:trPr>
          <w:trHeight w:val="1654"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40.1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采购代理服务费</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rPr>
            </w:pPr>
            <w:r>
              <w:rPr>
                <w:rFonts w:hint="eastAsia" w:ascii="宋体" w:hAnsi="宋体" w:cs="宋体"/>
              </w:rPr>
              <w:t>招标代理费：按照国家发展改革委办公厅《发改办价格</w:t>
            </w:r>
            <w:r>
              <w:rPr>
                <w:rFonts w:ascii="宋体" w:hAnsi="宋体" w:cs="宋体"/>
              </w:rPr>
              <w:t xml:space="preserve"> [2003] 857</w:t>
            </w:r>
            <w:r>
              <w:rPr>
                <w:rFonts w:hint="eastAsia" w:ascii="宋体" w:hAnsi="宋体" w:cs="宋体"/>
              </w:rPr>
              <w:t>号》文和《招标代理服务收费管理暂行办法》</w:t>
            </w:r>
            <w:r>
              <w:rPr>
                <w:rFonts w:ascii="宋体" w:hAnsi="宋体" w:cs="宋体"/>
              </w:rPr>
              <w:t>(</w:t>
            </w:r>
            <w:r>
              <w:rPr>
                <w:rFonts w:hint="eastAsia" w:ascii="宋体" w:hAnsi="宋体" w:cs="宋体"/>
              </w:rPr>
              <w:t>国家计委计价格</w:t>
            </w:r>
            <w:r>
              <w:rPr>
                <w:rFonts w:ascii="宋体" w:hAnsi="宋体" w:cs="宋体"/>
              </w:rPr>
              <w:t>[2002]1980</w:t>
            </w:r>
            <w:r>
              <w:rPr>
                <w:rFonts w:hint="eastAsia" w:ascii="宋体" w:hAnsi="宋体" w:cs="宋体"/>
              </w:rPr>
              <w:t>号</w:t>
            </w:r>
            <w:r>
              <w:rPr>
                <w:rFonts w:ascii="宋体" w:hAnsi="宋体" w:cs="宋体"/>
              </w:rPr>
              <w:t>)</w:t>
            </w:r>
            <w:r>
              <w:rPr>
                <w:rFonts w:hint="eastAsia" w:ascii="宋体" w:hAnsi="宋体" w:cs="宋体"/>
              </w:rPr>
              <w:t>文规定收费标准收取，本项目招标代理服务费由中标人一次性现金或转账支付。</w:t>
            </w:r>
          </w:p>
        </w:tc>
      </w:tr>
      <w:tr>
        <w:tblPrEx>
          <w:tblLayout w:type="fixed"/>
          <w:tblCellMar>
            <w:top w:w="0" w:type="dxa"/>
            <w:left w:w="108" w:type="dxa"/>
            <w:bottom w:w="0" w:type="dxa"/>
            <w:right w:w="108" w:type="dxa"/>
          </w:tblCellMar>
        </w:tblPrEx>
        <w:trPr>
          <w:trHeight w:val="333" w:hRule="atLeast"/>
          <w:jc w:val="center"/>
        </w:trPr>
        <w:tc>
          <w:tcPr>
            <w:tcW w:w="23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rPr>
              <w:t>第二章第</w:t>
            </w:r>
            <w:r>
              <w:rPr>
                <w:rFonts w:ascii="宋体" w:hAnsi="宋体" w:cs="宋体"/>
              </w:rPr>
              <w:t>41.1</w:t>
            </w:r>
            <w:r>
              <w:rPr>
                <w:rFonts w:hint="eastAsia" w:ascii="宋体" w:hAnsi="宋体" w:cs="宋体"/>
              </w:rPr>
              <w:t>款</w:t>
            </w:r>
          </w:p>
        </w:tc>
        <w:tc>
          <w:tcPr>
            <w:tcW w:w="212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rPr>
                <w:rFonts w:ascii="宋体" w:cs="Times New Roman"/>
              </w:rPr>
            </w:pPr>
            <w:r>
              <w:rPr>
                <w:rFonts w:hint="eastAsia" w:ascii="宋体" w:hAnsi="宋体" w:cs="宋体"/>
              </w:rPr>
              <w:t>其他规定</w:t>
            </w:r>
          </w:p>
        </w:tc>
        <w:tc>
          <w:tcPr>
            <w:tcW w:w="614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360" w:lineRule="auto"/>
              <w:jc w:val="center"/>
              <w:rPr>
                <w:rFonts w:ascii="宋体" w:cs="宋体"/>
              </w:rPr>
            </w:pPr>
            <w:r>
              <w:rPr>
                <w:rFonts w:ascii="宋体" w:cs="宋体"/>
              </w:rPr>
              <w:t>--</w:t>
            </w:r>
          </w:p>
        </w:tc>
      </w:tr>
    </w:tbl>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ascii="宋体" w:cs="Times New Roman"/>
          <w:b/>
          <w:bCs/>
        </w:rPr>
      </w:pPr>
    </w:p>
    <w:p>
      <w:pPr>
        <w:spacing w:line="360" w:lineRule="auto"/>
        <w:rPr>
          <w:rFonts w:hint="eastAsia" w:ascii="黑体" w:hAnsi="黑体" w:eastAsia="黑体" w:cs="黑体"/>
          <w:b/>
          <w:sz w:val="24"/>
          <w:szCs w:val="24"/>
        </w:rPr>
      </w:pPr>
    </w:p>
    <w:p>
      <w:pPr>
        <w:spacing w:line="360" w:lineRule="auto"/>
        <w:rPr>
          <w:rFonts w:hint="eastAsia" w:ascii="黑体" w:hAnsi="黑体" w:eastAsia="黑体" w:cs="黑体"/>
          <w:b/>
          <w:sz w:val="24"/>
          <w:szCs w:val="24"/>
        </w:rPr>
      </w:pPr>
    </w:p>
    <w:p>
      <w:pPr>
        <w:spacing w:line="360" w:lineRule="auto"/>
        <w:rPr>
          <w:rFonts w:hint="eastAsia" w:ascii="黑体" w:hAnsi="黑体" w:eastAsia="黑体" w:cs="黑体"/>
          <w:b/>
          <w:sz w:val="24"/>
          <w:szCs w:val="24"/>
        </w:rPr>
      </w:pPr>
    </w:p>
    <w:p>
      <w:pPr>
        <w:spacing w:line="360" w:lineRule="auto"/>
        <w:rPr>
          <w:rFonts w:hint="eastAsia" w:ascii="黑体" w:hAnsi="黑体" w:eastAsia="黑体" w:cs="黑体"/>
          <w:b/>
          <w:sz w:val="24"/>
          <w:szCs w:val="24"/>
        </w:rPr>
      </w:pPr>
    </w:p>
    <w:p>
      <w:pPr>
        <w:spacing w:line="360" w:lineRule="auto"/>
        <w:rPr>
          <w:rFonts w:hint="eastAsia" w:ascii="黑体" w:hAnsi="黑体" w:eastAsia="黑体" w:cs="黑体"/>
          <w:b/>
          <w:sz w:val="24"/>
          <w:szCs w:val="24"/>
        </w:rPr>
      </w:pPr>
    </w:p>
    <w:p>
      <w:pPr>
        <w:spacing w:line="360" w:lineRule="auto"/>
        <w:rPr>
          <w:rFonts w:ascii="黑体" w:hAnsi="黑体" w:eastAsia="黑体" w:cs="Times New Roman"/>
          <w:b/>
          <w:sz w:val="24"/>
          <w:szCs w:val="24"/>
        </w:rPr>
      </w:pPr>
      <w:r>
        <w:rPr>
          <w:rFonts w:hint="eastAsia" w:ascii="黑体" w:hAnsi="黑体" w:eastAsia="黑体" w:cs="黑体"/>
          <w:b/>
          <w:sz w:val="24"/>
          <w:szCs w:val="24"/>
        </w:rPr>
        <w:t>谈判须知正文</w:t>
      </w:r>
    </w:p>
    <w:p>
      <w:pPr>
        <w:spacing w:line="360" w:lineRule="auto"/>
        <w:rPr>
          <w:rFonts w:ascii="黑体" w:hAnsi="黑体" w:eastAsia="黑体" w:cs="Times New Roman"/>
          <w:b/>
          <w:sz w:val="24"/>
          <w:szCs w:val="24"/>
        </w:rPr>
      </w:pPr>
      <w:r>
        <w:rPr>
          <w:rFonts w:hint="eastAsia" w:ascii="黑体" w:hAnsi="黑体" w:eastAsia="黑体" w:cs="黑体"/>
          <w:b/>
          <w:sz w:val="24"/>
          <w:szCs w:val="24"/>
        </w:rPr>
        <w:t>一、说明</w:t>
      </w:r>
    </w:p>
    <w:p>
      <w:pPr>
        <w:spacing w:line="360" w:lineRule="auto"/>
        <w:rPr>
          <w:rFonts w:ascii="宋体" w:cs="Times New Roman"/>
          <w:b/>
          <w:bCs/>
        </w:rPr>
      </w:pPr>
      <w:r>
        <w:rPr>
          <w:rFonts w:ascii="宋体" w:hAnsi="宋体" w:cs="宋体"/>
          <w:b/>
          <w:bCs/>
        </w:rPr>
        <w:t>1.</w:t>
      </w:r>
      <w:r>
        <w:rPr>
          <w:rFonts w:hint="eastAsia" w:ascii="宋体" w:hAnsi="宋体" w:cs="宋体"/>
          <w:b/>
          <w:bCs/>
        </w:rPr>
        <w:t>适用范围</w:t>
      </w:r>
    </w:p>
    <w:p>
      <w:pPr>
        <w:spacing w:line="360" w:lineRule="auto"/>
        <w:ind w:firstLine="420"/>
        <w:rPr>
          <w:rFonts w:ascii="宋体" w:cs="Times New Roman"/>
        </w:rPr>
      </w:pPr>
      <w:r>
        <w:rPr>
          <w:rFonts w:ascii="宋体" w:hAnsi="宋体" w:cs="宋体"/>
        </w:rPr>
        <w:t xml:space="preserve">1.1 </w:t>
      </w:r>
      <w:r>
        <w:rPr>
          <w:rFonts w:hint="eastAsia" w:ascii="宋体" w:hAnsi="宋体" w:cs="宋体"/>
        </w:rPr>
        <w:t>本谈判文件仅适用于谈判须知前附表</w:t>
      </w:r>
      <w:r>
        <w:rPr>
          <w:rFonts w:ascii="宋体" w:hAnsi="宋体" w:cs="宋体"/>
        </w:rPr>
        <w:t>(</w:t>
      </w:r>
      <w:r>
        <w:rPr>
          <w:rFonts w:hint="eastAsia" w:ascii="宋体" w:hAnsi="宋体" w:cs="宋体"/>
        </w:rPr>
        <w:t>以下简称</w:t>
      </w:r>
      <w:r>
        <w:rPr>
          <w:rFonts w:hint="eastAsia" w:ascii="宋体" w:hAnsi="宋体" w:cs="宋体"/>
          <w:b/>
          <w:bCs/>
        </w:rPr>
        <w:t>谈判须知前附表</w:t>
      </w:r>
      <w:r>
        <w:rPr>
          <w:rFonts w:ascii="宋体" w:hAnsi="宋体" w:cs="宋体"/>
          <w:b/>
          <w:bCs/>
        </w:rPr>
        <w:t>)</w:t>
      </w:r>
      <w:r>
        <w:rPr>
          <w:rFonts w:hint="eastAsia" w:ascii="宋体" w:hAnsi="宋体" w:cs="宋体"/>
        </w:rPr>
        <w:t>中所叙述的采购项目。</w:t>
      </w:r>
    </w:p>
    <w:p>
      <w:pPr>
        <w:spacing w:line="360" w:lineRule="auto"/>
        <w:rPr>
          <w:rFonts w:ascii="宋体" w:cs="Times New Roman"/>
          <w:b/>
          <w:bCs/>
        </w:rPr>
      </w:pPr>
      <w:r>
        <w:rPr>
          <w:rFonts w:ascii="宋体" w:hAnsi="宋体" w:cs="宋体"/>
          <w:b/>
          <w:bCs/>
        </w:rPr>
        <w:t>2.</w:t>
      </w:r>
      <w:r>
        <w:rPr>
          <w:rFonts w:hint="eastAsia" w:ascii="宋体" w:hAnsi="宋体" w:cs="宋体"/>
          <w:b/>
          <w:bCs/>
        </w:rPr>
        <w:t>定义</w:t>
      </w:r>
    </w:p>
    <w:p>
      <w:pPr>
        <w:spacing w:line="360" w:lineRule="auto"/>
        <w:ind w:firstLine="420"/>
        <w:rPr>
          <w:rFonts w:ascii="宋体" w:hAnsi="宋体" w:cs="宋体"/>
        </w:rPr>
      </w:pPr>
      <w:r>
        <w:rPr>
          <w:rFonts w:ascii="宋体" w:hAnsi="宋体" w:cs="宋体"/>
        </w:rPr>
        <w:t xml:space="preserve">2.1 </w:t>
      </w:r>
      <w:r>
        <w:rPr>
          <w:rFonts w:hint="eastAsia" w:ascii="宋体" w:hAnsi="宋体" w:cs="宋体"/>
        </w:rPr>
        <w:t>“采购人”是指依法进行政府采购的国家机关、事业单位、团体组织。本次政府采购的采购人名称、地址、电话、联系人见</w:t>
      </w:r>
      <w:r>
        <w:rPr>
          <w:rFonts w:hint="eastAsia" w:ascii="宋体" w:hAnsi="宋体" w:cs="宋体"/>
          <w:b/>
        </w:rPr>
        <w:t>谈判须知前附表</w:t>
      </w:r>
      <w:r>
        <w:rPr>
          <w:rFonts w:hint="eastAsia" w:ascii="宋体" w:hAnsi="宋体" w:cs="宋体"/>
        </w:rPr>
        <w:t>。</w:t>
      </w:r>
    </w:p>
    <w:p>
      <w:pPr>
        <w:spacing w:line="360" w:lineRule="auto"/>
        <w:ind w:firstLine="420"/>
        <w:rPr>
          <w:rFonts w:ascii="宋体" w:cs="Times New Roman"/>
          <w:b/>
          <w:bCs/>
        </w:rPr>
      </w:pPr>
      <w:r>
        <w:rPr>
          <w:rFonts w:ascii="宋体" w:hAnsi="宋体" w:cs="宋体"/>
        </w:rPr>
        <w:t xml:space="preserve">2.2 </w:t>
      </w:r>
      <w:r>
        <w:rPr>
          <w:rFonts w:hint="eastAsia" w:ascii="宋体" w:hAnsi="宋体" w:cs="宋体"/>
        </w:rPr>
        <w:t>“采购代理机构</w:t>
      </w:r>
      <w:r>
        <w:rPr>
          <w:rFonts w:hint="eastAsia" w:ascii="宋体" w:cs="宋体"/>
        </w:rPr>
        <w:t>”</w:t>
      </w:r>
      <w:r>
        <w:rPr>
          <w:rFonts w:hint="eastAsia" w:ascii="宋体" w:hAnsi="宋体" w:cs="宋体"/>
        </w:rPr>
        <w:t>是指接受采购人委托，代理采购项目的集中采购机构和其他采购代理机构。本次政府采购的采购代理机构名称、地址、电话、联系人见</w:t>
      </w:r>
      <w:r>
        <w:rPr>
          <w:rFonts w:hint="eastAsia" w:ascii="宋体" w:hAnsi="宋体" w:cs="宋体"/>
          <w:b/>
          <w:bCs/>
        </w:rPr>
        <w:t>谈判须知前附表。</w:t>
      </w:r>
    </w:p>
    <w:p>
      <w:pPr>
        <w:spacing w:line="360" w:lineRule="auto"/>
        <w:ind w:firstLine="420"/>
        <w:rPr>
          <w:rFonts w:ascii="宋体" w:cs="Times New Roman"/>
        </w:rPr>
      </w:pPr>
      <w:r>
        <w:rPr>
          <w:rFonts w:ascii="宋体" w:hAnsi="宋体" w:cs="宋体"/>
        </w:rPr>
        <w:t xml:space="preserve">2.3 </w:t>
      </w:r>
      <w:r>
        <w:rPr>
          <w:rFonts w:hint="eastAsia" w:ascii="宋体" w:hAnsi="宋体" w:cs="宋体"/>
        </w:rPr>
        <w:t>“供应商</w:t>
      </w:r>
      <w:r>
        <w:rPr>
          <w:rFonts w:hint="eastAsia" w:ascii="宋体" w:cs="宋体"/>
        </w:rPr>
        <w:t>”</w:t>
      </w:r>
      <w:r>
        <w:rPr>
          <w:rFonts w:hint="eastAsia" w:ascii="宋体" w:hAnsi="宋体" w:cs="宋体"/>
        </w:rPr>
        <w:t>是指响应谈判文件要求、参加竞争性谈判采购的法人、其他组织或者自然人。本次政府采购项目邀请的供应商通过</w:t>
      </w:r>
      <w:r>
        <w:rPr>
          <w:rFonts w:hint="eastAsia" w:ascii="宋体" w:hAnsi="宋体" w:cs="宋体"/>
          <w:b/>
          <w:bCs/>
        </w:rPr>
        <w:t>谈判须知前附表</w:t>
      </w:r>
      <w:r>
        <w:rPr>
          <w:rFonts w:hint="eastAsia" w:ascii="宋体" w:hAnsi="宋体" w:cs="宋体"/>
        </w:rPr>
        <w:t>所述方式，经谈判小组确定。据此，采购人或采购代理机构已向其发出谈判通知，供应商应持</w:t>
      </w:r>
      <w:r>
        <w:rPr>
          <w:rFonts w:hint="eastAsia" w:ascii="宋体" w:hAnsi="宋体" w:cs="宋体"/>
          <w:b/>
          <w:bCs/>
        </w:rPr>
        <w:t>谈判须知前附表</w:t>
      </w:r>
      <w:r>
        <w:rPr>
          <w:rFonts w:hint="eastAsia" w:ascii="宋体" w:hAnsi="宋体" w:cs="宋体"/>
        </w:rPr>
        <w:t>规定的资料领取或购买谈判文件。</w:t>
      </w:r>
    </w:p>
    <w:p>
      <w:pPr>
        <w:spacing w:line="360" w:lineRule="auto"/>
        <w:ind w:firstLine="420"/>
        <w:rPr>
          <w:rFonts w:ascii="宋体" w:cs="Times New Roman"/>
        </w:rPr>
      </w:pPr>
      <w:r>
        <w:rPr>
          <w:rFonts w:ascii="宋体" w:hAnsi="宋体" w:cs="宋体"/>
        </w:rPr>
        <w:t xml:space="preserve">2.4 </w:t>
      </w:r>
      <w:r>
        <w:rPr>
          <w:rFonts w:hint="eastAsia" w:ascii="宋体" w:hAnsi="宋体" w:cs="宋体"/>
        </w:rPr>
        <w:t>“谈判小组</w:t>
      </w:r>
      <w:r>
        <w:rPr>
          <w:rFonts w:hint="eastAsia" w:ascii="宋体" w:cs="宋体"/>
        </w:rPr>
        <w:t>”</w:t>
      </w:r>
      <w:r>
        <w:rPr>
          <w:rFonts w:hint="eastAsia" w:ascii="宋体" w:hAnsi="宋体" w:cs="宋体"/>
        </w:rPr>
        <w:t>是指依据《中华人民共和国政府采购法》和财政部《政府采购非招标采购方式管理办法》有关规定组建，依法依规履行其职责和义务的机构。</w:t>
      </w:r>
    </w:p>
    <w:p>
      <w:pPr>
        <w:spacing w:line="360" w:lineRule="auto"/>
        <w:ind w:firstLine="420"/>
        <w:rPr>
          <w:rFonts w:ascii="宋体" w:cs="宋体"/>
        </w:rPr>
      </w:pPr>
      <w:r>
        <w:rPr>
          <w:rFonts w:ascii="宋体" w:hAnsi="宋体" w:cs="宋体"/>
        </w:rPr>
        <w:t xml:space="preserve">2.5 </w:t>
      </w:r>
      <w:r>
        <w:rPr>
          <w:rFonts w:hint="eastAsia" w:ascii="宋体" w:hAnsi="宋体" w:cs="宋体"/>
        </w:rPr>
        <w:t>“货物</w:t>
      </w:r>
      <w:r>
        <w:rPr>
          <w:rFonts w:hint="eastAsia" w:ascii="宋体" w:cs="宋体"/>
        </w:rPr>
        <w:t>”</w:t>
      </w:r>
      <w:r>
        <w:rPr>
          <w:rFonts w:hint="eastAsia" w:ascii="宋体" w:hAnsi="宋体" w:cs="宋体"/>
        </w:rPr>
        <w:t>是指各种形态和种类</w:t>
      </w:r>
      <w:r>
        <w:rPr>
          <w:rFonts w:hint="eastAsia" w:ascii="宋体" w:cs="宋体"/>
        </w:rPr>
        <w:t>的物品，包括原材料、燃料、设备、产品(包括软件)等，详见《政府采购品目分类目录》(财库[2013]189号)。</w:t>
      </w:r>
    </w:p>
    <w:p>
      <w:pPr>
        <w:spacing w:line="360" w:lineRule="auto"/>
        <w:ind w:firstLine="420"/>
        <w:rPr>
          <w:rFonts w:ascii="宋体" w:cs="Times New Roman"/>
        </w:rPr>
      </w:pPr>
      <w:r>
        <w:rPr>
          <w:rFonts w:ascii="宋体" w:hAnsi="宋体" w:cs="宋体"/>
        </w:rPr>
        <w:t xml:space="preserve">2.6 </w:t>
      </w:r>
      <w:r>
        <w:rPr>
          <w:rFonts w:hint="eastAsia" w:ascii="宋体" w:hAnsi="宋体" w:cs="宋体"/>
        </w:rPr>
        <w:t>“工程</w:t>
      </w:r>
      <w:r>
        <w:rPr>
          <w:rFonts w:hint="eastAsia" w:ascii="宋体" w:cs="宋体"/>
        </w:rPr>
        <w:t>”</w:t>
      </w:r>
      <w:r>
        <w:rPr>
          <w:rFonts w:hint="eastAsia" w:ascii="宋体" w:hAnsi="宋体" w:cs="宋体"/>
        </w:rPr>
        <w:t>是指建设工程，包括建筑物和构筑物的新建、改建、扩建、装修、拆除、修缮等，详见《政府采购品目分类目录》</w:t>
      </w:r>
      <w:r>
        <w:rPr>
          <w:rFonts w:ascii="宋体" w:hAnsi="宋体" w:cs="宋体"/>
        </w:rPr>
        <w:t>(</w:t>
      </w:r>
      <w:r>
        <w:rPr>
          <w:rFonts w:hint="eastAsia" w:ascii="宋体" w:hAnsi="宋体" w:cs="宋体"/>
          <w:color w:val="000000"/>
        </w:rPr>
        <w:t>财库</w:t>
      </w:r>
      <w:r>
        <w:rPr>
          <w:rFonts w:ascii="宋体" w:hAnsi="宋体" w:cs="宋体"/>
          <w:color w:val="000000"/>
        </w:rPr>
        <w:t>[2013]189</w:t>
      </w:r>
      <w:r>
        <w:rPr>
          <w:rFonts w:hint="eastAsia" w:ascii="宋体" w:hAnsi="宋体" w:cs="宋体"/>
          <w:color w:val="000000"/>
        </w:rPr>
        <w:t>号</w:t>
      </w:r>
      <w:r>
        <w:rPr>
          <w:rFonts w:ascii="宋体" w:hAnsi="宋体" w:cs="宋体"/>
        </w:rPr>
        <w:t>)</w:t>
      </w:r>
      <w:r>
        <w:rPr>
          <w:rFonts w:hint="eastAsia" w:ascii="宋体" w:hAnsi="宋体" w:cs="宋体"/>
        </w:rPr>
        <w:t>。</w:t>
      </w:r>
    </w:p>
    <w:p>
      <w:pPr>
        <w:spacing w:line="360" w:lineRule="auto"/>
        <w:ind w:firstLine="420"/>
        <w:rPr>
          <w:rFonts w:ascii="宋体" w:cs="Times New Roman"/>
        </w:rPr>
      </w:pPr>
      <w:r>
        <w:rPr>
          <w:rFonts w:ascii="宋体" w:hAnsi="宋体" w:cs="宋体"/>
        </w:rPr>
        <w:t xml:space="preserve">2.7 </w:t>
      </w:r>
      <w:r>
        <w:rPr>
          <w:rFonts w:hint="eastAsia" w:ascii="宋体" w:hAnsi="宋体" w:cs="宋体"/>
        </w:rPr>
        <w:t>“服务</w:t>
      </w:r>
      <w:r>
        <w:rPr>
          <w:rFonts w:hint="eastAsia" w:ascii="宋体" w:cs="宋体"/>
        </w:rPr>
        <w:t>”</w:t>
      </w:r>
      <w:r>
        <w:rPr>
          <w:rFonts w:hint="eastAsia" w:ascii="宋体" w:hAnsi="宋体" w:cs="宋体"/>
        </w:rPr>
        <w:t>是指除货物和工程以外的其他政府采购对象，详见《政府采购品目分类目录》</w:t>
      </w:r>
      <w:r>
        <w:rPr>
          <w:rFonts w:ascii="宋体" w:hAnsi="宋体" w:cs="宋体"/>
        </w:rPr>
        <w:t>(</w:t>
      </w:r>
      <w:r>
        <w:rPr>
          <w:rFonts w:hint="eastAsia" w:ascii="宋体" w:hAnsi="宋体" w:cs="宋体"/>
          <w:color w:val="000000"/>
        </w:rPr>
        <w:t>财库</w:t>
      </w:r>
      <w:r>
        <w:rPr>
          <w:rFonts w:ascii="宋体" w:hAnsi="宋体" w:cs="宋体"/>
          <w:color w:val="000000"/>
        </w:rPr>
        <w:t>[2013]189</w:t>
      </w:r>
      <w:r>
        <w:rPr>
          <w:rFonts w:hint="eastAsia" w:ascii="宋体" w:hAnsi="宋体" w:cs="宋体"/>
          <w:color w:val="000000"/>
        </w:rPr>
        <w:t>号</w:t>
      </w:r>
      <w:r>
        <w:rPr>
          <w:rFonts w:ascii="宋体" w:hAnsi="宋体" w:cs="宋体"/>
        </w:rPr>
        <w:t>)</w:t>
      </w:r>
      <w:r>
        <w:rPr>
          <w:rFonts w:hint="eastAsia" w:ascii="宋体" w:hAnsi="宋体" w:cs="宋体"/>
        </w:rPr>
        <w:t>。</w:t>
      </w:r>
    </w:p>
    <w:p>
      <w:pPr>
        <w:spacing w:line="360" w:lineRule="auto"/>
        <w:ind w:firstLine="420"/>
        <w:rPr>
          <w:rFonts w:ascii="宋体" w:cs="Times New Roman"/>
        </w:rPr>
      </w:pPr>
      <w:r>
        <w:rPr>
          <w:rFonts w:ascii="宋体" w:hAnsi="宋体" w:cs="宋体"/>
        </w:rPr>
        <w:t xml:space="preserve">2.8 </w:t>
      </w:r>
      <w:r>
        <w:rPr>
          <w:rFonts w:hint="eastAsia" w:ascii="宋体" w:hAnsi="宋体" w:cs="宋体"/>
        </w:rPr>
        <w:t>“节能产品</w:t>
      </w:r>
      <w:r>
        <w:rPr>
          <w:rFonts w:hint="eastAsia" w:ascii="宋体" w:cs="宋体"/>
        </w:rPr>
        <w:t>”</w:t>
      </w:r>
      <w:r>
        <w:rPr>
          <w:rFonts w:hint="eastAsia" w:ascii="宋体" w:hAnsi="宋体" w:cs="宋体"/>
        </w:rPr>
        <w:t>或者</w:t>
      </w:r>
      <w:r>
        <w:rPr>
          <w:rFonts w:hint="eastAsia" w:ascii="宋体" w:cs="宋体"/>
        </w:rPr>
        <w:t>“</w:t>
      </w:r>
      <w:r>
        <w:rPr>
          <w:rFonts w:hint="eastAsia" w:ascii="宋体" w:hAnsi="宋体" w:cs="宋体"/>
        </w:rPr>
        <w:t>环保产品</w:t>
      </w:r>
      <w:r>
        <w:rPr>
          <w:rFonts w:hint="eastAsia" w:ascii="宋体" w:cs="宋体"/>
        </w:rPr>
        <w:t>”</w:t>
      </w:r>
      <w:r>
        <w:rPr>
          <w:rFonts w:hint="eastAsia" w:ascii="宋体" w:hAnsi="宋体" w:cs="宋体"/>
        </w:rPr>
        <w:t>是指财政部发布的《节能产品政府采购清单》或者《环境标志产品政府采购清单》的产品，</w:t>
      </w:r>
      <w:r>
        <w:rPr>
          <w:rFonts w:hint="eastAsia" w:ascii="宋体" w:cs="宋体"/>
        </w:rPr>
        <w:t>“</w:t>
      </w:r>
      <w:r>
        <w:rPr>
          <w:rFonts w:hint="eastAsia" w:ascii="宋体" w:hAnsi="宋体" w:cs="宋体"/>
        </w:rPr>
        <w:t>两型产品</w:t>
      </w:r>
      <w:r>
        <w:rPr>
          <w:rFonts w:hint="eastAsia" w:ascii="宋体" w:cs="宋体"/>
        </w:rPr>
        <w:t>”</w:t>
      </w:r>
      <w:r>
        <w:rPr>
          <w:rFonts w:hint="eastAsia" w:ascii="宋体" w:hAnsi="宋体" w:cs="宋体"/>
        </w:rPr>
        <w:t>是指湖南省财政厅发布的《湖南省两型产品政府采购目录》的产品。</w:t>
      </w:r>
    </w:p>
    <w:p>
      <w:pPr>
        <w:spacing w:line="360" w:lineRule="auto"/>
        <w:ind w:firstLine="420"/>
        <w:rPr>
          <w:rFonts w:ascii="宋体" w:hAnsi="宋体" w:cs="宋体"/>
          <w:b/>
          <w:bCs/>
        </w:rPr>
      </w:pPr>
      <w:r>
        <w:rPr>
          <w:rFonts w:ascii="宋体" w:hAnsi="宋体" w:cs="宋体"/>
          <w:color w:val="000000"/>
        </w:rPr>
        <w:t xml:space="preserve">2.9 </w:t>
      </w:r>
      <w:r>
        <w:rPr>
          <w:rFonts w:hint="eastAsia" w:ascii="宋体" w:hAnsi="宋体" w:cs="宋体"/>
          <w:color w:val="000000"/>
        </w:rPr>
        <w:t>“进口产品</w:t>
      </w:r>
      <w:r>
        <w:rPr>
          <w:rFonts w:hint="eastAsia" w:ascii="宋体" w:cs="宋体"/>
          <w:color w:val="000000"/>
        </w:rPr>
        <w:t>”</w:t>
      </w:r>
      <w:r>
        <w:rPr>
          <w:rFonts w:hint="eastAsia" w:ascii="宋体" w:hAnsi="宋体" w:cs="宋体"/>
          <w:color w:val="000000"/>
        </w:rPr>
        <w:t>是指通过中国海关报关验放进入中国境内且产自关境外的产品，详见《</w:t>
      </w:r>
      <w:r>
        <w:rPr>
          <w:rFonts w:hint="eastAsia" w:ascii="宋体" w:hAnsi="宋体" w:cs="宋体"/>
        </w:rPr>
        <w:t>关于政府采购进口产品管理有关问题的通知</w:t>
      </w:r>
      <w:r>
        <w:rPr>
          <w:rFonts w:hint="eastAsia" w:ascii="宋体" w:hAnsi="宋体" w:cs="宋体"/>
          <w:color w:val="000000"/>
        </w:rPr>
        <w:t>》</w:t>
      </w:r>
      <w:r>
        <w:rPr>
          <w:rFonts w:ascii="宋体" w:hAnsi="宋体" w:cs="宋体"/>
          <w:color w:val="000000"/>
        </w:rPr>
        <w:t>(</w:t>
      </w:r>
      <w:r>
        <w:rPr>
          <w:rFonts w:hint="eastAsia" w:ascii="宋体" w:hAnsi="宋体" w:cs="宋体"/>
          <w:color w:val="000000"/>
        </w:rPr>
        <w:t>财库</w:t>
      </w:r>
      <w:r>
        <w:rPr>
          <w:rFonts w:ascii="宋体" w:hAnsi="宋体" w:cs="宋体"/>
          <w:color w:val="000000"/>
        </w:rPr>
        <w:t>[2007]119</w:t>
      </w:r>
      <w:r>
        <w:rPr>
          <w:rFonts w:hint="eastAsia" w:ascii="宋体" w:hAnsi="宋体" w:cs="宋体"/>
          <w:color w:val="000000"/>
        </w:rPr>
        <w:t>号</w:t>
      </w:r>
      <w:r>
        <w:rPr>
          <w:rFonts w:ascii="宋体" w:hAnsi="宋体" w:cs="宋体"/>
          <w:color w:val="000000"/>
        </w:rPr>
        <w:t>)</w:t>
      </w:r>
      <w:r>
        <w:rPr>
          <w:rFonts w:hint="eastAsia" w:ascii="宋体" w:hAnsi="宋体" w:cs="宋体"/>
          <w:color w:val="000000"/>
        </w:rPr>
        <w:t>。</w:t>
      </w:r>
    </w:p>
    <w:p>
      <w:pPr>
        <w:spacing w:line="360" w:lineRule="auto"/>
        <w:rPr>
          <w:rFonts w:ascii="宋体" w:cs="Times New Roman"/>
          <w:b/>
          <w:bCs/>
        </w:rPr>
      </w:pPr>
      <w:r>
        <w:rPr>
          <w:rFonts w:ascii="宋体" w:hAnsi="宋体" w:cs="宋体"/>
          <w:b/>
          <w:bCs/>
        </w:rPr>
        <w:t>3.</w:t>
      </w:r>
      <w:r>
        <w:rPr>
          <w:rFonts w:hint="eastAsia" w:ascii="宋体" w:hAnsi="宋体" w:cs="宋体"/>
          <w:b/>
          <w:bCs/>
        </w:rPr>
        <w:t>供应商的资格要求</w:t>
      </w:r>
    </w:p>
    <w:p>
      <w:pPr>
        <w:spacing w:line="360" w:lineRule="auto"/>
        <w:ind w:firstLine="420"/>
        <w:rPr>
          <w:rFonts w:ascii="宋体" w:cs="Times New Roman"/>
        </w:rPr>
      </w:pPr>
      <w:r>
        <w:rPr>
          <w:rFonts w:ascii="宋体" w:hAnsi="宋体" w:cs="宋体"/>
        </w:rPr>
        <w:t xml:space="preserve">3.1 </w:t>
      </w:r>
      <w:r>
        <w:rPr>
          <w:rFonts w:hint="eastAsia" w:ascii="宋体" w:hAnsi="宋体" w:cs="宋体"/>
        </w:rPr>
        <w:t>供应商应当符合</w:t>
      </w:r>
      <w:r>
        <w:rPr>
          <w:rFonts w:hint="eastAsia" w:ascii="宋体" w:hAnsi="宋体" w:cs="宋体"/>
          <w:b/>
          <w:bCs/>
        </w:rPr>
        <w:t>谈判须知前附表</w:t>
      </w:r>
      <w:r>
        <w:rPr>
          <w:rFonts w:hint="eastAsia" w:ascii="宋体" w:hAnsi="宋体" w:cs="宋体"/>
        </w:rPr>
        <w:t>中规定的下列资格条件要求；</w:t>
      </w:r>
    </w:p>
    <w:p>
      <w:pPr>
        <w:spacing w:line="360" w:lineRule="auto"/>
        <w:ind w:firstLine="420"/>
        <w:rPr>
          <w:rFonts w:ascii="宋体" w:cs="Times New Roman"/>
        </w:rPr>
      </w:pPr>
      <w:r>
        <w:rPr>
          <w:rFonts w:hint="eastAsia" w:ascii="宋体" w:hAnsi="宋体" w:cs="宋体"/>
        </w:rPr>
        <w:t>（</w:t>
      </w:r>
      <w:r>
        <w:rPr>
          <w:rFonts w:ascii="宋体" w:hAnsi="宋体" w:cs="宋体"/>
        </w:rPr>
        <w:t>l</w:t>
      </w:r>
      <w:r>
        <w:rPr>
          <w:rFonts w:hint="eastAsia" w:ascii="宋体" w:hAnsi="宋体" w:cs="宋体"/>
        </w:rPr>
        <w:t>）《政府采购法》第二十二条第一款规定的供应商基本资格条件；</w:t>
      </w:r>
    </w:p>
    <w:p>
      <w:pPr>
        <w:spacing w:line="360" w:lineRule="auto"/>
        <w:ind w:firstLine="420"/>
        <w:rPr>
          <w:rFonts w:ascii="宋体" w:cs="Times New Roman"/>
        </w:rPr>
      </w:pPr>
      <w:r>
        <w:rPr>
          <w:rFonts w:hint="eastAsia" w:ascii="宋体" w:hAnsi="宋体" w:cs="宋体"/>
        </w:rPr>
        <w:t>（</w:t>
      </w:r>
      <w:r>
        <w:rPr>
          <w:rFonts w:ascii="宋体" w:hAnsi="宋体" w:cs="宋体"/>
        </w:rPr>
        <w:t>2</w:t>
      </w:r>
      <w:r>
        <w:rPr>
          <w:rFonts w:hint="eastAsia" w:ascii="宋体" w:hAnsi="宋体" w:cs="宋体"/>
        </w:rPr>
        <w:t>）谈判文件规定的供应商特定资格条件。</w:t>
      </w:r>
    </w:p>
    <w:p>
      <w:pPr>
        <w:spacing w:line="360" w:lineRule="auto"/>
        <w:ind w:firstLine="420"/>
        <w:rPr>
          <w:rFonts w:ascii="宋体" w:cs="Times New Roman"/>
        </w:rPr>
      </w:pPr>
      <w:r>
        <w:rPr>
          <w:rFonts w:ascii="宋体" w:hAnsi="宋体" w:cs="宋体"/>
        </w:rPr>
        <w:t xml:space="preserve">3.2 </w:t>
      </w:r>
      <w:r>
        <w:rPr>
          <w:rFonts w:hint="eastAsia" w:ascii="宋体" w:hAnsi="宋体" w:cs="宋体"/>
        </w:rPr>
        <w:t>供应商不得存在下列情形之一：</w:t>
      </w:r>
    </w:p>
    <w:p>
      <w:pPr>
        <w:spacing w:line="360" w:lineRule="auto"/>
        <w:ind w:firstLine="420"/>
        <w:rPr>
          <w:rFonts w:ascii="宋体" w:cs="Times New Roman"/>
        </w:rPr>
      </w:pPr>
      <w:r>
        <w:rPr>
          <w:rFonts w:hint="eastAsia" w:ascii="宋体" w:hAnsi="宋体" w:cs="宋体"/>
        </w:rPr>
        <w:t>（</w:t>
      </w:r>
      <w:r>
        <w:rPr>
          <w:rFonts w:ascii="宋体" w:hAnsi="宋体" w:cs="宋体"/>
        </w:rPr>
        <w:t>l</w:t>
      </w:r>
      <w:r>
        <w:rPr>
          <w:rFonts w:hint="eastAsia" w:ascii="宋体" w:hAnsi="宋体" w:cs="宋体"/>
        </w:rPr>
        <w:t>）与采购人、采购代理机构存在隶属关系或者其他利害关系。</w:t>
      </w:r>
    </w:p>
    <w:p>
      <w:pPr>
        <w:spacing w:line="360" w:lineRule="auto"/>
        <w:ind w:firstLine="420"/>
        <w:rPr>
          <w:rFonts w:ascii="宋体" w:cs="Times New Roman"/>
        </w:rPr>
      </w:pPr>
      <w:r>
        <w:rPr>
          <w:rFonts w:hint="eastAsia" w:ascii="宋体" w:hAnsi="宋体" w:cs="宋体"/>
        </w:rPr>
        <w:t>（</w:t>
      </w:r>
      <w:r>
        <w:rPr>
          <w:rFonts w:ascii="宋体" w:hAnsi="宋体" w:cs="宋体"/>
        </w:rPr>
        <w:t>2</w:t>
      </w:r>
      <w:r>
        <w:rPr>
          <w:rFonts w:hint="eastAsia" w:ascii="宋体" w:hAnsi="宋体" w:cs="宋体"/>
        </w:rPr>
        <w:t>）与其他供应商的法定代表人（或者负责人）为同一人，或者与其他供应商存在控股、关联关系。</w:t>
      </w:r>
    </w:p>
    <w:p>
      <w:pPr>
        <w:spacing w:line="360" w:lineRule="auto"/>
        <w:ind w:firstLine="420"/>
        <w:rPr>
          <w:rFonts w:ascii="宋体" w:cs="Times New Roman"/>
        </w:rPr>
      </w:pPr>
      <w:r>
        <w:rPr>
          <w:rFonts w:hint="eastAsia" w:ascii="宋体" w:hAnsi="宋体" w:cs="宋体"/>
        </w:rPr>
        <w:t>（</w:t>
      </w:r>
      <w:r>
        <w:rPr>
          <w:rFonts w:ascii="宋体" w:hAnsi="宋体" w:cs="宋体"/>
        </w:rPr>
        <w:t>3</w:t>
      </w:r>
      <w:r>
        <w:rPr>
          <w:rFonts w:hint="eastAsia" w:ascii="宋体" w:hAnsi="宋体" w:cs="宋体"/>
        </w:rPr>
        <w:t>）受到刑事处罚，或者受到三万元以上的罚款、责令停产停业、在一至三年内禁止参加政府采购活动、暂扣或者吊销许可证、暂扣或者吊销执照等情形之一的行政处罚，或者存在财政部门认定的其他重大违法记录。</w:t>
      </w:r>
    </w:p>
    <w:p>
      <w:pPr>
        <w:spacing w:line="360" w:lineRule="auto"/>
        <w:rPr>
          <w:rFonts w:ascii="宋体" w:cs="Times New Roman"/>
          <w:b/>
          <w:bCs/>
        </w:rPr>
      </w:pPr>
      <w:r>
        <w:rPr>
          <w:rFonts w:ascii="宋体" w:hAnsi="宋体" w:cs="宋体"/>
          <w:b/>
          <w:bCs/>
        </w:rPr>
        <w:t>4.</w:t>
      </w:r>
      <w:r>
        <w:rPr>
          <w:rFonts w:hint="eastAsia" w:ascii="宋体" w:hAnsi="宋体" w:cs="宋体"/>
          <w:b/>
          <w:bCs/>
        </w:rPr>
        <w:t>参与谈判的费用</w:t>
      </w:r>
    </w:p>
    <w:p>
      <w:pPr>
        <w:spacing w:line="360" w:lineRule="auto"/>
        <w:ind w:firstLine="420"/>
        <w:rPr>
          <w:rFonts w:ascii="宋体" w:cs="Times New Roman"/>
        </w:rPr>
      </w:pPr>
      <w:r>
        <w:rPr>
          <w:rFonts w:ascii="宋体" w:hAnsi="宋体" w:cs="宋体"/>
        </w:rPr>
        <w:t xml:space="preserve">4.1 </w:t>
      </w:r>
      <w:r>
        <w:rPr>
          <w:rFonts w:hint="eastAsia" w:ascii="宋体" w:hAnsi="宋体" w:cs="宋体"/>
        </w:rPr>
        <w:t>无论谈判的结果如何，供应商应自行承担所有与竞争性谈判采购活动有关的全部费用。</w:t>
      </w:r>
    </w:p>
    <w:p>
      <w:pPr>
        <w:spacing w:line="360" w:lineRule="auto"/>
        <w:rPr>
          <w:rFonts w:ascii="宋体" w:cs="Times New Roman"/>
          <w:b/>
          <w:bCs/>
        </w:rPr>
      </w:pPr>
      <w:r>
        <w:rPr>
          <w:rFonts w:ascii="宋体" w:hAnsi="宋体" w:cs="宋体"/>
          <w:b/>
          <w:bCs/>
        </w:rPr>
        <w:t>5</w:t>
      </w:r>
      <w:r>
        <w:rPr>
          <w:rFonts w:hint="eastAsia" w:ascii="宋体" w:hAnsi="宋体" w:cs="宋体"/>
          <w:b/>
          <w:bCs/>
        </w:rPr>
        <w:t>．授权委托</w:t>
      </w:r>
    </w:p>
    <w:p>
      <w:pPr>
        <w:spacing w:line="360" w:lineRule="auto"/>
        <w:ind w:firstLine="420"/>
        <w:rPr>
          <w:rFonts w:ascii="宋体" w:cs="Times New Roman"/>
        </w:rPr>
      </w:pPr>
      <w:r>
        <w:rPr>
          <w:rFonts w:ascii="宋体" w:hAnsi="宋体" w:cs="宋体"/>
        </w:rPr>
        <w:t>5.1</w:t>
      </w:r>
      <w:r>
        <w:rPr>
          <w:rFonts w:hint="eastAsia" w:ascii="宋体" w:hAnsi="宋体" w:cs="宋体"/>
        </w:rPr>
        <w:t>供应商代表为供应商法定代表人的，应持有法定代表人身份证明。供应商代表不是供应商法定代表人的，应持有法定代表人授权书，并附法定代表人身份证明。</w:t>
      </w:r>
    </w:p>
    <w:p>
      <w:pPr>
        <w:spacing w:line="360" w:lineRule="auto"/>
        <w:rPr>
          <w:rFonts w:ascii="宋体" w:cs="Times New Roman"/>
          <w:b/>
          <w:bCs/>
        </w:rPr>
      </w:pPr>
      <w:r>
        <w:rPr>
          <w:rFonts w:ascii="宋体" w:hAnsi="宋体" w:cs="宋体"/>
          <w:b/>
          <w:bCs/>
        </w:rPr>
        <w:t>6</w:t>
      </w:r>
      <w:r>
        <w:rPr>
          <w:rFonts w:hint="eastAsia" w:ascii="宋体" w:hAnsi="宋体" w:cs="宋体"/>
          <w:b/>
          <w:bCs/>
        </w:rPr>
        <w:t>．联合体形式</w:t>
      </w:r>
    </w:p>
    <w:p>
      <w:pPr>
        <w:spacing w:line="360" w:lineRule="auto"/>
        <w:ind w:firstLine="420"/>
        <w:rPr>
          <w:rFonts w:ascii="宋体" w:cs="Times New Roman"/>
        </w:rPr>
      </w:pPr>
      <w:r>
        <w:rPr>
          <w:rFonts w:ascii="宋体" w:hAnsi="宋体" w:cs="宋体"/>
        </w:rPr>
        <w:t>6.1</w:t>
      </w:r>
      <w:r>
        <w:rPr>
          <w:rFonts w:hint="eastAsia" w:ascii="宋体" w:hAnsi="宋体" w:cs="宋体"/>
        </w:rPr>
        <w:t>除</w:t>
      </w:r>
      <w:r>
        <w:rPr>
          <w:rFonts w:hint="eastAsia" w:ascii="宋体" w:hAnsi="宋体" w:cs="宋体"/>
          <w:b/>
          <w:bCs/>
        </w:rPr>
        <w:t>谈判须知前附表</w:t>
      </w:r>
      <w:r>
        <w:rPr>
          <w:rFonts w:hint="eastAsia" w:ascii="宋体" w:hAnsi="宋体" w:cs="宋体"/>
        </w:rPr>
        <w:t>中另有规定，本次谈判采购不接受为联合体形式的供应商。</w:t>
      </w:r>
    </w:p>
    <w:p>
      <w:pPr>
        <w:spacing w:line="360" w:lineRule="auto"/>
        <w:ind w:firstLine="420"/>
        <w:jc w:val="left"/>
        <w:rPr>
          <w:rFonts w:ascii="宋体" w:cs="Times New Roman"/>
        </w:rPr>
      </w:pPr>
      <w:r>
        <w:rPr>
          <w:rFonts w:ascii="宋体" w:hAnsi="宋体" w:cs="宋体"/>
        </w:rPr>
        <w:t>6.2</w:t>
      </w:r>
      <w:r>
        <w:rPr>
          <w:rFonts w:hint="eastAsia" w:ascii="宋体" w:hAnsi="宋体" w:cs="宋体"/>
        </w:rPr>
        <w:t>供应商为联合体形式的，除应符合本章第</w:t>
      </w:r>
      <w:r>
        <w:rPr>
          <w:rFonts w:ascii="宋体" w:hAnsi="宋体" w:cs="宋体"/>
        </w:rPr>
        <w:t>3</w:t>
      </w:r>
      <w:r>
        <w:rPr>
          <w:rFonts w:hint="eastAsia" w:ascii="宋体" w:hAnsi="宋体" w:cs="宋体"/>
        </w:rPr>
        <w:t>条规定外，还应遵守以下规定：</w:t>
      </w:r>
    </w:p>
    <w:p>
      <w:pPr>
        <w:spacing w:line="360" w:lineRule="auto"/>
        <w:ind w:firstLine="420"/>
        <w:jc w:val="left"/>
        <w:rPr>
          <w:rFonts w:ascii="宋体" w:cs="Times New Roman"/>
        </w:rPr>
      </w:pPr>
      <w:r>
        <w:rPr>
          <w:rFonts w:hint="eastAsia" w:ascii="宋体" w:hAnsi="宋体" w:cs="宋体"/>
        </w:rPr>
        <w:t>（</w:t>
      </w:r>
      <w:r>
        <w:rPr>
          <w:rFonts w:ascii="宋体" w:hAnsi="宋体" w:cs="宋体"/>
        </w:rPr>
        <w:t>l</w:t>
      </w:r>
      <w:r>
        <w:rPr>
          <w:rFonts w:hint="eastAsia" w:ascii="宋体" w:hAnsi="宋体" w:cs="宋体"/>
        </w:rPr>
        <w:t>）联合体各方必须签订联合体协议书，明确联合体牵头人和各方的义务、工作、合同工作量比例；</w:t>
      </w:r>
    </w:p>
    <w:p>
      <w:pPr>
        <w:spacing w:line="360" w:lineRule="auto"/>
        <w:ind w:firstLine="420"/>
        <w:jc w:val="left"/>
        <w:rPr>
          <w:rFonts w:ascii="宋体" w:cs="Times New Roman"/>
        </w:rPr>
      </w:pPr>
      <w:r>
        <w:rPr>
          <w:rFonts w:hint="eastAsia" w:ascii="宋体" w:hAnsi="宋体" w:cs="宋体"/>
        </w:rPr>
        <w:t>（</w:t>
      </w:r>
      <w:r>
        <w:rPr>
          <w:rFonts w:ascii="宋体" w:hAnsi="宋体" w:cs="宋体"/>
        </w:rPr>
        <w:t>2</w:t>
      </w:r>
      <w:r>
        <w:rPr>
          <w:rFonts w:hint="eastAsia" w:ascii="宋体" w:hAnsi="宋体" w:cs="宋体"/>
        </w:rPr>
        <w:t>）联合体各方均应当符合本章第</w:t>
      </w:r>
      <w:r>
        <w:rPr>
          <w:rFonts w:ascii="宋体" w:hAnsi="宋体" w:cs="宋体"/>
        </w:rPr>
        <w:t>3.1</w:t>
      </w:r>
      <w:r>
        <w:rPr>
          <w:rFonts w:hint="eastAsia" w:ascii="宋体" w:hAnsi="宋体" w:cs="宋体"/>
        </w:rPr>
        <w:t>款规定的供应商基本资格条件；</w:t>
      </w:r>
    </w:p>
    <w:p>
      <w:pPr>
        <w:spacing w:line="360" w:lineRule="auto"/>
        <w:ind w:firstLine="420"/>
        <w:jc w:val="left"/>
        <w:rPr>
          <w:rFonts w:ascii="宋体" w:cs="Times New Roman"/>
        </w:rPr>
      </w:pPr>
      <w:r>
        <w:rPr>
          <w:rFonts w:hint="eastAsia" w:ascii="宋体" w:hAnsi="宋体" w:cs="宋体"/>
        </w:rPr>
        <w:t>（</w:t>
      </w:r>
      <w:r>
        <w:rPr>
          <w:rFonts w:ascii="宋体" w:hAnsi="宋体" w:cs="宋体"/>
        </w:rPr>
        <w:t>3</w:t>
      </w:r>
      <w:r>
        <w:rPr>
          <w:rFonts w:hint="eastAsia" w:ascii="宋体" w:hAnsi="宋体" w:cs="宋体"/>
        </w:rPr>
        <w:t>）除</w:t>
      </w:r>
      <w:r>
        <w:rPr>
          <w:rFonts w:hint="eastAsia" w:ascii="宋体" w:hAnsi="宋体" w:cs="宋体"/>
          <w:b/>
          <w:bCs/>
        </w:rPr>
        <w:t>谈判须知前附表</w:t>
      </w:r>
      <w:r>
        <w:rPr>
          <w:rFonts w:hint="eastAsia" w:ascii="宋体" w:hAnsi="宋体" w:cs="宋体"/>
        </w:rPr>
        <w:t>中另有规定，联合体各方中至少有一方应当符合本章第</w:t>
      </w:r>
      <w:r>
        <w:rPr>
          <w:rFonts w:ascii="宋体" w:hAnsi="宋体" w:cs="宋体"/>
        </w:rPr>
        <w:t>3.1</w:t>
      </w:r>
      <w:r>
        <w:rPr>
          <w:rFonts w:hint="eastAsia" w:ascii="宋体" w:hAnsi="宋体" w:cs="宋体"/>
        </w:rPr>
        <w:t>款规定的供应商特定资格条件；</w:t>
      </w:r>
    </w:p>
    <w:p>
      <w:pPr>
        <w:spacing w:line="360" w:lineRule="auto"/>
        <w:ind w:firstLine="420"/>
        <w:jc w:val="left"/>
        <w:rPr>
          <w:rFonts w:ascii="宋体" w:cs="Times New Roman"/>
        </w:rPr>
      </w:pPr>
      <w:r>
        <w:rPr>
          <w:rFonts w:hint="eastAsia" w:ascii="宋体" w:hAnsi="宋体" w:cs="宋体"/>
        </w:rPr>
        <w:t>（</w:t>
      </w:r>
      <w:r>
        <w:rPr>
          <w:rFonts w:ascii="宋体" w:hAnsi="宋体" w:cs="宋体"/>
        </w:rPr>
        <w:t>4</w:t>
      </w:r>
      <w:r>
        <w:rPr>
          <w:rFonts w:hint="eastAsia" w:ascii="宋体" w:hAnsi="宋体" w:cs="宋体"/>
        </w:rPr>
        <w:t>）联合体各方不得再单独或与其他供应商组成新的联合体参加同一项目的采购活动。</w:t>
      </w:r>
    </w:p>
    <w:p>
      <w:pPr>
        <w:spacing w:line="360" w:lineRule="auto"/>
        <w:rPr>
          <w:rFonts w:ascii="宋体" w:cs="Times New Roman"/>
          <w:b/>
          <w:bCs/>
        </w:rPr>
      </w:pPr>
      <w:r>
        <w:rPr>
          <w:rFonts w:ascii="宋体" w:hAnsi="宋体" w:cs="宋体"/>
          <w:b/>
          <w:bCs/>
        </w:rPr>
        <w:t>7.</w:t>
      </w:r>
      <w:r>
        <w:rPr>
          <w:rFonts w:hint="eastAsia" w:ascii="宋体" w:hAnsi="宋体" w:cs="宋体"/>
          <w:b/>
          <w:bCs/>
        </w:rPr>
        <w:t>现场勘察</w:t>
      </w:r>
    </w:p>
    <w:p>
      <w:pPr>
        <w:spacing w:line="360" w:lineRule="auto"/>
        <w:ind w:firstLine="420"/>
        <w:rPr>
          <w:rFonts w:ascii="宋体" w:cs="Times New Roman"/>
        </w:rPr>
      </w:pPr>
      <w:r>
        <w:rPr>
          <w:rFonts w:ascii="宋体" w:hAnsi="宋体" w:cs="宋体"/>
        </w:rPr>
        <w:t>7.1</w:t>
      </w:r>
      <w:r>
        <w:rPr>
          <w:rFonts w:hint="eastAsia" w:ascii="宋体" w:hAnsi="宋体" w:cs="宋体"/>
        </w:rPr>
        <w:t>供应商应按</w:t>
      </w:r>
      <w:r>
        <w:rPr>
          <w:rFonts w:hint="eastAsia" w:ascii="宋体" w:hAnsi="宋体" w:cs="宋体"/>
          <w:b/>
          <w:bCs/>
        </w:rPr>
        <w:t>谈判须知前附表</w:t>
      </w:r>
      <w:r>
        <w:rPr>
          <w:rFonts w:hint="eastAsia" w:ascii="宋体" w:hAnsi="宋体" w:cs="宋体"/>
        </w:rPr>
        <w:t>中规定对采购项目现场和周围环境的现场考察。</w:t>
      </w:r>
    </w:p>
    <w:p>
      <w:pPr>
        <w:spacing w:line="360" w:lineRule="auto"/>
        <w:ind w:firstLine="420"/>
        <w:rPr>
          <w:rFonts w:ascii="宋体" w:cs="Times New Roman"/>
        </w:rPr>
      </w:pPr>
      <w:r>
        <w:rPr>
          <w:rFonts w:ascii="宋体" w:hAnsi="宋体" w:cs="宋体"/>
        </w:rPr>
        <w:t>7.2</w:t>
      </w:r>
      <w:r>
        <w:rPr>
          <w:rFonts w:hint="eastAsia" w:ascii="宋体" w:hAnsi="宋体" w:cs="宋体"/>
        </w:rPr>
        <w:t>勘察现场的费用由供应商自己承担，勘察期间所发生的人身伤害及财产损失由供应商自己负责。</w:t>
      </w:r>
    </w:p>
    <w:p>
      <w:pPr>
        <w:spacing w:line="360" w:lineRule="auto"/>
        <w:ind w:firstLine="420"/>
        <w:jc w:val="left"/>
        <w:rPr>
          <w:rFonts w:ascii="宋体" w:cs="Times New Roman"/>
          <w:b/>
          <w:bCs/>
        </w:rPr>
      </w:pPr>
      <w:r>
        <w:rPr>
          <w:rFonts w:ascii="宋体" w:hAnsi="宋体" w:cs="宋体"/>
        </w:rPr>
        <w:t>7.3</w:t>
      </w:r>
      <w:r>
        <w:rPr>
          <w:rFonts w:hint="eastAsia" w:ascii="宋体" w:hAnsi="宋体" w:cs="宋体"/>
        </w:rPr>
        <w:t>采购人不对供应商据此而做出的推论、理解和结论负责。一旦成交，供应商不得以任何借口，提出额外补偿，或延长合同期限的要求。</w:t>
      </w:r>
    </w:p>
    <w:p>
      <w:pPr>
        <w:spacing w:line="360" w:lineRule="auto"/>
        <w:jc w:val="left"/>
        <w:rPr>
          <w:rFonts w:ascii="宋体" w:cs="Times New Roman"/>
          <w:b/>
          <w:bCs/>
        </w:rPr>
      </w:pPr>
      <w:r>
        <w:rPr>
          <w:rFonts w:ascii="宋体" w:hAnsi="宋体" w:cs="宋体"/>
          <w:b/>
          <w:bCs/>
        </w:rPr>
        <w:t>8.</w:t>
      </w:r>
      <w:r>
        <w:rPr>
          <w:rFonts w:hint="eastAsia" w:ascii="宋体" w:hAnsi="宋体" w:cs="宋体"/>
          <w:b/>
          <w:bCs/>
        </w:rPr>
        <w:t>采购进口产品</w:t>
      </w:r>
    </w:p>
    <w:p>
      <w:pPr>
        <w:spacing w:line="360" w:lineRule="auto"/>
        <w:ind w:firstLine="420"/>
        <w:jc w:val="left"/>
        <w:rPr>
          <w:rFonts w:ascii="宋体" w:cs="Times New Roman"/>
        </w:rPr>
      </w:pPr>
      <w:r>
        <w:rPr>
          <w:rFonts w:ascii="宋体" w:hAnsi="宋体" w:cs="宋体"/>
        </w:rPr>
        <w:t>8.1</w:t>
      </w:r>
      <w:r>
        <w:rPr>
          <w:rFonts w:hint="eastAsia" w:ascii="宋体" w:hAnsi="宋体" w:cs="宋体"/>
        </w:rPr>
        <w:t>除</w:t>
      </w:r>
      <w:r>
        <w:rPr>
          <w:rFonts w:hint="eastAsia" w:ascii="宋体" w:hAnsi="宋体" w:cs="宋体"/>
          <w:b/>
          <w:bCs/>
        </w:rPr>
        <w:t>谈判文件前附表</w:t>
      </w:r>
      <w:r>
        <w:rPr>
          <w:rFonts w:hint="eastAsia" w:ascii="宋体" w:hAnsi="宋体" w:cs="宋体"/>
        </w:rPr>
        <w:t>另有规定外，本项目拒绝进口产品参加竞争性谈判采购活动。</w:t>
      </w:r>
    </w:p>
    <w:p>
      <w:pPr>
        <w:spacing w:line="360" w:lineRule="auto"/>
        <w:ind w:firstLine="420"/>
        <w:jc w:val="left"/>
        <w:rPr>
          <w:rFonts w:ascii="宋体" w:cs="Times New Roman"/>
        </w:rPr>
      </w:pPr>
      <w:r>
        <w:rPr>
          <w:rFonts w:ascii="宋体" w:hAnsi="宋体" w:cs="宋体"/>
        </w:rPr>
        <w:t>8.2</w:t>
      </w:r>
      <w:r>
        <w:rPr>
          <w:rFonts w:hint="eastAsia" w:ascii="宋体" w:hAnsi="宋体" w:cs="宋体"/>
        </w:rPr>
        <w:t>本章第</w:t>
      </w:r>
      <w:r>
        <w:rPr>
          <w:rFonts w:ascii="宋体" w:hAnsi="宋体" w:cs="宋体"/>
        </w:rPr>
        <w:t>8.1</w:t>
      </w:r>
      <w:r>
        <w:rPr>
          <w:rFonts w:hint="eastAsia" w:ascii="宋体" w:hAnsi="宋体" w:cs="宋体"/>
        </w:rPr>
        <w:t>款规定同意购买进口产品的，本项目采购活动不限制满足谈判文件要求的国内产品参与竞争性谈判。</w:t>
      </w:r>
    </w:p>
    <w:p>
      <w:pPr>
        <w:spacing w:line="360" w:lineRule="auto"/>
        <w:jc w:val="left"/>
        <w:rPr>
          <w:rFonts w:ascii="宋体" w:cs="Times New Roman"/>
          <w:b/>
          <w:bCs/>
        </w:rPr>
      </w:pPr>
      <w:r>
        <w:rPr>
          <w:rFonts w:ascii="宋体" w:hAnsi="宋体" w:cs="宋体"/>
          <w:b/>
          <w:bCs/>
        </w:rPr>
        <w:t xml:space="preserve">9. </w:t>
      </w:r>
      <w:r>
        <w:rPr>
          <w:rFonts w:hint="eastAsia" w:ascii="宋体" w:hAnsi="宋体" w:cs="宋体"/>
          <w:b/>
          <w:bCs/>
        </w:rPr>
        <w:t>政府采购政策支持</w:t>
      </w:r>
    </w:p>
    <w:p>
      <w:pPr>
        <w:spacing w:line="360" w:lineRule="auto"/>
        <w:ind w:firstLine="420"/>
        <w:rPr>
          <w:rFonts w:ascii="宋体" w:cs="Times New Roman"/>
          <w:color w:val="000000"/>
        </w:rPr>
      </w:pPr>
      <w:r>
        <w:rPr>
          <w:rFonts w:ascii="宋体" w:hAnsi="宋体" w:cs="宋体"/>
        </w:rPr>
        <w:t>9.1</w:t>
      </w:r>
      <w:r>
        <w:rPr>
          <w:rFonts w:hint="eastAsia" w:ascii="宋体" w:hAnsi="宋体" w:cs="宋体"/>
        </w:rPr>
        <w:t>产品符合政府采购强制采购政策的，实行强制采购；符合政府采购优先采购政策的，产品只能享受节能产品、环境标志产品、两型产品等产品优惠中的一项</w:t>
      </w:r>
      <w:r>
        <w:rPr>
          <w:rFonts w:ascii="宋体" w:hAnsi="宋体" w:cs="宋体"/>
        </w:rPr>
        <w:t>(</w:t>
      </w:r>
      <w:r>
        <w:rPr>
          <w:rFonts w:hint="eastAsia" w:ascii="宋体" w:hAnsi="宋体" w:cs="宋体"/>
        </w:rPr>
        <w:t>由供应商在报价文件中选择并填报政策功能编码，评审时进行价格扣除</w:t>
      </w:r>
      <w:r>
        <w:rPr>
          <w:rFonts w:ascii="宋体" w:hAnsi="宋体" w:cs="宋体"/>
        </w:rPr>
        <w:t>)</w:t>
      </w:r>
      <w:r>
        <w:rPr>
          <w:rFonts w:hint="eastAsia" w:ascii="宋体" w:hAnsi="宋体" w:cs="宋体"/>
        </w:rPr>
        <w:t>；供应商享受支持中小企业发展政策优惠的，可以与同时享受节能产品、环境标志产品、两型产品等产品优惠中的一项累加扣除。省级以上财政部门关于政府采购强制采购、优先采购的政策规定可在本章第</w:t>
      </w:r>
      <w:r>
        <w:rPr>
          <w:rFonts w:ascii="宋体" w:hAnsi="宋体" w:cs="宋体"/>
        </w:rPr>
        <w:t>36.1</w:t>
      </w:r>
      <w:r>
        <w:rPr>
          <w:rFonts w:hint="eastAsia" w:ascii="宋体" w:hAnsi="宋体" w:cs="宋体"/>
        </w:rPr>
        <w:t>款指定的媒体和中国湖南省岳阳市政府采购网（</w:t>
      </w:r>
      <w:r>
        <w:rPr>
          <w:rFonts w:ascii="宋体" w:hAnsi="宋体" w:cs="宋体"/>
        </w:rPr>
        <w:t>http://www.ccgp-hunan.gov.cn:8080/portal_city.jsp?areaCode=yys</w:t>
      </w:r>
      <w:r>
        <w:rPr>
          <w:rFonts w:hint="eastAsia" w:ascii="宋体" w:hAnsi="宋体" w:cs="宋体"/>
        </w:rPr>
        <w:t>）查询。本项目价格扣除比例见</w:t>
      </w:r>
      <w:r>
        <w:rPr>
          <w:rFonts w:hint="eastAsia" w:ascii="宋体" w:hAnsi="宋体" w:cs="宋体"/>
          <w:b/>
          <w:bCs/>
        </w:rPr>
        <w:t>谈判须知前附表</w:t>
      </w:r>
      <w:r>
        <w:rPr>
          <w:rFonts w:hint="eastAsia" w:ascii="宋体" w:hAnsi="宋体" w:cs="宋体"/>
        </w:rPr>
        <w:t>。</w:t>
      </w:r>
    </w:p>
    <w:p>
      <w:pPr>
        <w:spacing w:line="360" w:lineRule="auto"/>
        <w:ind w:firstLine="420"/>
        <w:jc w:val="left"/>
        <w:rPr>
          <w:rFonts w:ascii="宋体" w:cs="Times New Roman"/>
        </w:rPr>
      </w:pPr>
      <w:r>
        <w:rPr>
          <w:rFonts w:ascii="宋体" w:hAnsi="宋体" w:cs="宋体"/>
          <w:color w:val="000000"/>
        </w:rPr>
        <w:t>9.2</w:t>
      </w:r>
      <w:r>
        <w:rPr>
          <w:rFonts w:hint="eastAsia" w:ascii="宋体" w:hAnsi="宋体" w:cs="宋体"/>
          <w:color w:val="000000"/>
        </w:rPr>
        <w:t>同一项目中部分产品属于</w:t>
      </w:r>
      <w:r>
        <w:rPr>
          <w:rFonts w:hint="eastAsia" w:ascii="宋体" w:hAnsi="宋体" w:cs="宋体"/>
        </w:rPr>
        <w:t>优先采购政策的，评审时只对该部分产品的报价实行价格扣除。</w:t>
      </w:r>
    </w:p>
    <w:p>
      <w:pPr>
        <w:spacing w:line="360" w:lineRule="auto"/>
        <w:ind w:firstLine="420"/>
        <w:jc w:val="left"/>
        <w:rPr>
          <w:rFonts w:ascii="宋体" w:cs="Times New Roman"/>
        </w:rPr>
      </w:pPr>
      <w:r>
        <w:rPr>
          <w:rFonts w:ascii="宋体" w:hAnsi="宋体" w:cs="宋体"/>
        </w:rPr>
        <w:t>9.3</w:t>
      </w:r>
      <w:r>
        <w:rPr>
          <w:rFonts w:hint="eastAsia" w:ascii="宋体" w:hAnsi="宋体" w:cs="宋体"/>
        </w:rPr>
        <w:t>为</w:t>
      </w:r>
      <w:r>
        <w:rPr>
          <w:rFonts w:hint="eastAsia" w:ascii="宋体" w:hAnsi="宋体" w:cs="宋体"/>
          <w:color w:val="000000"/>
        </w:rPr>
        <w:t>推进政府采购诚信体系建设，</w:t>
      </w:r>
      <w:r>
        <w:rPr>
          <w:rFonts w:hint="eastAsia" w:ascii="宋体" w:hAnsi="宋体" w:cs="宋体"/>
        </w:rPr>
        <w:t>供应商在签署相关承诺，提供相关信息前，应认真阅读</w:t>
      </w:r>
      <w:r>
        <w:rPr>
          <w:rFonts w:hint="eastAsia" w:ascii="宋体" w:hAnsi="宋体" w:cs="宋体"/>
          <w:color w:val="000000"/>
        </w:rPr>
        <w:t>省级以上财政部门</w:t>
      </w:r>
      <w:r>
        <w:rPr>
          <w:rFonts w:hint="eastAsia" w:ascii="宋体" w:hAnsi="宋体" w:cs="宋体"/>
        </w:rPr>
        <w:t>相关政策规定。符合本章第</w:t>
      </w:r>
      <w:r>
        <w:rPr>
          <w:rFonts w:ascii="宋体" w:hAnsi="宋体" w:cs="宋体"/>
        </w:rPr>
        <w:t>9.1</w:t>
      </w:r>
      <w:r>
        <w:rPr>
          <w:rFonts w:hint="eastAsia" w:ascii="宋体" w:hAnsi="宋体" w:cs="宋体"/>
        </w:rPr>
        <w:t>款、第</w:t>
      </w:r>
      <w:r>
        <w:rPr>
          <w:rFonts w:ascii="宋体" w:hAnsi="宋体" w:cs="宋体"/>
        </w:rPr>
        <w:t>9.2</w:t>
      </w:r>
      <w:r>
        <w:rPr>
          <w:rFonts w:hint="eastAsia" w:ascii="宋体" w:hAnsi="宋体" w:cs="宋体"/>
        </w:rPr>
        <w:t>款规定的，应提供相关证明材料。</w:t>
      </w:r>
    </w:p>
    <w:p>
      <w:pPr>
        <w:spacing w:line="360" w:lineRule="auto"/>
        <w:ind w:left="902" w:hanging="902"/>
        <w:rPr>
          <w:rFonts w:ascii="黑体" w:hAnsi="黑体" w:eastAsia="黑体" w:cs="Times New Roman"/>
          <w:b/>
          <w:sz w:val="24"/>
          <w:szCs w:val="24"/>
        </w:rPr>
      </w:pPr>
      <w:r>
        <w:rPr>
          <w:rFonts w:hint="eastAsia" w:ascii="黑体" w:hAnsi="黑体" w:eastAsia="黑体" w:cs="黑体"/>
          <w:b/>
          <w:sz w:val="24"/>
          <w:szCs w:val="24"/>
        </w:rPr>
        <w:t>二、谈判文件</w:t>
      </w:r>
    </w:p>
    <w:p>
      <w:pPr>
        <w:spacing w:line="360" w:lineRule="auto"/>
        <w:rPr>
          <w:rFonts w:ascii="宋体" w:cs="Times New Roman"/>
          <w:b/>
          <w:bCs/>
        </w:rPr>
      </w:pPr>
      <w:r>
        <w:rPr>
          <w:rFonts w:ascii="宋体" w:hAnsi="宋体" w:cs="宋体"/>
          <w:b/>
          <w:bCs/>
        </w:rPr>
        <w:t>10</w:t>
      </w:r>
      <w:r>
        <w:rPr>
          <w:rFonts w:hint="eastAsia" w:ascii="宋体" w:hAnsi="宋体" w:cs="宋体"/>
          <w:b/>
          <w:bCs/>
        </w:rPr>
        <w:t>．谈判文件的组成</w:t>
      </w:r>
    </w:p>
    <w:p>
      <w:pPr>
        <w:spacing w:line="360" w:lineRule="auto"/>
        <w:ind w:firstLine="420"/>
        <w:rPr>
          <w:rFonts w:ascii="宋体" w:cs="Times New Roman"/>
        </w:rPr>
      </w:pPr>
      <w:r>
        <w:rPr>
          <w:rFonts w:ascii="宋体" w:hAnsi="宋体" w:cs="宋体"/>
        </w:rPr>
        <w:t xml:space="preserve">10.1 </w:t>
      </w:r>
      <w:r>
        <w:rPr>
          <w:rFonts w:hint="eastAsia" w:ascii="宋体" w:hAnsi="宋体" w:cs="宋体"/>
        </w:rPr>
        <w:t>谈判文件由下列文件组成：</w:t>
      </w:r>
    </w:p>
    <w:p>
      <w:pPr>
        <w:spacing w:line="360" w:lineRule="auto"/>
        <w:ind w:firstLine="420"/>
        <w:rPr>
          <w:rFonts w:ascii="宋体" w:cs="Times New Roman"/>
        </w:rPr>
      </w:pPr>
      <w:r>
        <w:rPr>
          <w:rFonts w:hint="eastAsia" w:ascii="宋体" w:hAnsi="宋体" w:cs="宋体"/>
        </w:rPr>
        <w:t>第一章  谈判通知</w:t>
      </w:r>
    </w:p>
    <w:p>
      <w:pPr>
        <w:spacing w:line="360" w:lineRule="auto"/>
        <w:ind w:firstLine="420"/>
        <w:rPr>
          <w:rFonts w:ascii="宋体" w:cs="Times New Roman"/>
        </w:rPr>
      </w:pPr>
      <w:r>
        <w:rPr>
          <w:rFonts w:hint="eastAsia" w:ascii="宋体" w:hAnsi="宋体" w:cs="宋体"/>
        </w:rPr>
        <w:t>第二章  谈判须知</w:t>
      </w:r>
    </w:p>
    <w:p>
      <w:pPr>
        <w:spacing w:line="360" w:lineRule="auto"/>
        <w:ind w:firstLine="420"/>
        <w:rPr>
          <w:rFonts w:ascii="宋体" w:cs="Times New Roman"/>
        </w:rPr>
      </w:pPr>
      <w:r>
        <w:rPr>
          <w:rFonts w:hint="eastAsia" w:ascii="宋体" w:hAnsi="宋体" w:cs="宋体"/>
        </w:rPr>
        <w:t>第三章  政府采购合同格式条款</w:t>
      </w:r>
    </w:p>
    <w:p>
      <w:pPr>
        <w:spacing w:line="360" w:lineRule="auto"/>
        <w:ind w:firstLine="420"/>
        <w:rPr>
          <w:rFonts w:ascii="宋体" w:cs="Times New Roman"/>
        </w:rPr>
      </w:pPr>
      <w:r>
        <w:rPr>
          <w:rFonts w:hint="eastAsia" w:ascii="宋体" w:hAnsi="宋体" w:cs="宋体"/>
        </w:rPr>
        <w:t>第四章  采购需求</w:t>
      </w:r>
    </w:p>
    <w:p>
      <w:pPr>
        <w:spacing w:line="360" w:lineRule="auto"/>
        <w:ind w:firstLine="420"/>
        <w:rPr>
          <w:rFonts w:ascii="宋体" w:cs="Times New Roman"/>
        </w:rPr>
      </w:pPr>
      <w:r>
        <w:rPr>
          <w:rFonts w:hint="eastAsia" w:ascii="宋体" w:hAnsi="宋体" w:cs="宋体"/>
        </w:rPr>
        <w:t>第五章  响应文件组成</w:t>
      </w:r>
    </w:p>
    <w:p>
      <w:pPr>
        <w:spacing w:line="360" w:lineRule="auto"/>
        <w:ind w:firstLine="420"/>
        <w:rPr>
          <w:rFonts w:ascii="宋体" w:cs="Times New Roman"/>
        </w:rPr>
      </w:pPr>
      <w:r>
        <w:rPr>
          <w:rFonts w:ascii="宋体" w:hAnsi="宋体" w:cs="宋体"/>
        </w:rPr>
        <w:t>10.2</w:t>
      </w:r>
      <w:r>
        <w:rPr>
          <w:rFonts w:hint="eastAsia" w:ascii="宋体" w:hAnsi="宋体" w:cs="宋体"/>
        </w:rPr>
        <w:t>本章第</w:t>
      </w:r>
      <w:r>
        <w:rPr>
          <w:rFonts w:ascii="宋体" w:hAnsi="宋体" w:cs="宋体"/>
        </w:rPr>
        <w:t>11.1</w:t>
      </w:r>
      <w:r>
        <w:rPr>
          <w:rFonts w:hint="eastAsia" w:ascii="宋体" w:hAnsi="宋体" w:cs="宋体"/>
        </w:rPr>
        <w:t>款规定的提交首次响应文件截止时间前对谈判文件澄清或者修改内容，为谈判文件的组成部分。</w:t>
      </w:r>
    </w:p>
    <w:p>
      <w:pPr>
        <w:spacing w:line="360" w:lineRule="auto"/>
        <w:ind w:firstLine="420"/>
        <w:rPr>
          <w:rFonts w:ascii="宋体" w:cs="Times New Roman"/>
        </w:rPr>
      </w:pPr>
      <w:r>
        <w:rPr>
          <w:rFonts w:ascii="宋体" w:hAnsi="宋体" w:cs="宋体"/>
        </w:rPr>
        <w:t>10.3</w:t>
      </w:r>
      <w:r>
        <w:rPr>
          <w:rFonts w:hint="eastAsia" w:ascii="宋体" w:hAnsi="宋体" w:cs="宋体"/>
        </w:rPr>
        <w:t>谈判小组根据与供应商谈判情况可能实质性变动的内容，包括采购需求中的技术、服务要求以及合同条款，在</w:t>
      </w:r>
      <w:r>
        <w:rPr>
          <w:rFonts w:hint="eastAsia" w:ascii="宋体" w:hAnsi="宋体" w:cs="宋体"/>
          <w:b/>
          <w:bCs/>
        </w:rPr>
        <w:t>谈判须知前附表</w:t>
      </w:r>
      <w:r>
        <w:rPr>
          <w:rFonts w:hint="eastAsia" w:ascii="宋体" w:hAnsi="宋体" w:cs="宋体"/>
        </w:rPr>
        <w:t>中明确。</w:t>
      </w:r>
    </w:p>
    <w:p>
      <w:pPr>
        <w:spacing w:line="360" w:lineRule="auto"/>
        <w:ind w:firstLine="420"/>
        <w:rPr>
          <w:rFonts w:ascii="宋体" w:cs="Times New Roman"/>
        </w:rPr>
      </w:pPr>
      <w:r>
        <w:rPr>
          <w:rFonts w:ascii="宋体" w:hAnsi="宋体" w:cs="宋体"/>
        </w:rPr>
        <w:t>10.4</w:t>
      </w:r>
      <w:r>
        <w:rPr>
          <w:rFonts w:hint="eastAsia" w:ascii="宋体" w:hAnsi="宋体" w:cs="宋体"/>
        </w:rPr>
        <w:t>供应商应仔细阅读谈判文件的全部内容，按照谈判文件要求编制响应文件。任何对谈判文件的忽略或误解不能作为响应文件存在缺陷或瑕疵的理由，其风险由供应商承担。</w:t>
      </w:r>
    </w:p>
    <w:p>
      <w:pPr>
        <w:spacing w:line="360" w:lineRule="auto"/>
        <w:rPr>
          <w:rFonts w:ascii="宋体" w:cs="Times New Roman"/>
        </w:rPr>
      </w:pPr>
      <w:r>
        <w:rPr>
          <w:rFonts w:ascii="宋体" w:hAnsi="宋体" w:cs="宋体"/>
          <w:b/>
          <w:bCs/>
        </w:rPr>
        <w:t>11.</w:t>
      </w:r>
      <w:r>
        <w:rPr>
          <w:rFonts w:hint="eastAsia" w:ascii="宋体" w:hAnsi="宋体" w:cs="宋体"/>
          <w:b/>
          <w:bCs/>
        </w:rPr>
        <w:t>提交首次响应文件的截止时间</w:t>
      </w:r>
    </w:p>
    <w:p>
      <w:pPr>
        <w:spacing w:line="360" w:lineRule="auto"/>
        <w:ind w:firstLine="420"/>
        <w:rPr>
          <w:rFonts w:ascii="宋体" w:cs="Times New Roman"/>
        </w:rPr>
      </w:pPr>
      <w:r>
        <w:rPr>
          <w:rFonts w:ascii="宋体" w:hAnsi="宋体" w:cs="宋体"/>
        </w:rPr>
        <w:t>11.1</w:t>
      </w:r>
      <w:r>
        <w:rPr>
          <w:rFonts w:hint="eastAsia" w:ascii="宋体" w:hAnsi="宋体" w:cs="宋体"/>
        </w:rPr>
        <w:t>供应商提交首次响应文件截止时间见</w:t>
      </w:r>
      <w:r>
        <w:rPr>
          <w:rFonts w:hint="eastAsia" w:ascii="宋体" w:hAnsi="宋体" w:cs="宋体"/>
          <w:b/>
          <w:bCs/>
        </w:rPr>
        <w:t>谈判须知前附表</w:t>
      </w:r>
      <w:r>
        <w:rPr>
          <w:rFonts w:hint="eastAsia" w:ascii="宋体" w:hAnsi="宋体" w:cs="宋体"/>
        </w:rPr>
        <w:t>。</w:t>
      </w:r>
    </w:p>
    <w:p>
      <w:pPr>
        <w:spacing w:line="360" w:lineRule="auto"/>
        <w:rPr>
          <w:rFonts w:ascii="宋体" w:cs="Times New Roman"/>
          <w:b/>
          <w:bCs/>
        </w:rPr>
      </w:pPr>
      <w:r>
        <w:rPr>
          <w:rFonts w:ascii="宋体" w:hAnsi="宋体" w:cs="宋体"/>
          <w:b/>
          <w:bCs/>
        </w:rPr>
        <w:t>12.</w:t>
      </w:r>
      <w:r>
        <w:rPr>
          <w:rFonts w:hint="eastAsia" w:ascii="宋体" w:hAnsi="宋体" w:cs="宋体"/>
          <w:b/>
          <w:bCs/>
        </w:rPr>
        <w:t>谈判文件的澄清或者修改</w:t>
      </w:r>
    </w:p>
    <w:p>
      <w:pPr>
        <w:spacing w:line="360" w:lineRule="auto"/>
        <w:ind w:right="-105" w:firstLine="420"/>
        <w:rPr>
          <w:rFonts w:ascii="宋体" w:cs="Times New Roman"/>
        </w:rPr>
      </w:pPr>
      <w:r>
        <w:rPr>
          <w:rFonts w:ascii="宋体" w:hAnsi="宋体" w:cs="宋体"/>
        </w:rPr>
        <w:t>12.1</w:t>
      </w:r>
      <w:r>
        <w:rPr>
          <w:rFonts w:hint="eastAsia" w:ascii="宋体" w:hAnsi="宋体" w:cs="宋体"/>
        </w:rPr>
        <w:t>在本章第</w:t>
      </w:r>
      <w:r>
        <w:rPr>
          <w:rFonts w:ascii="宋体" w:hAnsi="宋体" w:cs="宋体"/>
        </w:rPr>
        <w:t>11.1</w:t>
      </w:r>
      <w:r>
        <w:rPr>
          <w:rFonts w:hint="eastAsia" w:ascii="宋体" w:hAnsi="宋体" w:cs="宋体"/>
        </w:rPr>
        <w:t>款规定的提交首次响应文件截止之日前，采购人、采购代理机构或者谈判小组可以对已发出的谈判文件进行必要的澄清或者修改。</w:t>
      </w:r>
    </w:p>
    <w:p>
      <w:pPr>
        <w:spacing w:line="360" w:lineRule="auto"/>
        <w:ind w:right="-105" w:firstLine="420"/>
        <w:rPr>
          <w:rFonts w:ascii="宋体" w:cs="Times New Roman"/>
        </w:rPr>
      </w:pPr>
      <w:r>
        <w:rPr>
          <w:rFonts w:ascii="宋体" w:hAnsi="宋体" w:cs="宋体"/>
        </w:rPr>
        <w:t>12.2</w:t>
      </w:r>
      <w:r>
        <w:rPr>
          <w:rFonts w:hint="eastAsia" w:ascii="宋体" w:hAnsi="宋体" w:cs="宋体"/>
        </w:rPr>
        <w:t>澄清或者修改的内容可能影响响应文件编制的，采购人、采购代理机构或者谈判小组应当在本章第</w:t>
      </w:r>
      <w:r>
        <w:rPr>
          <w:rFonts w:ascii="宋体" w:hAnsi="宋体" w:cs="宋体"/>
        </w:rPr>
        <w:t>11.1</w:t>
      </w:r>
      <w:r>
        <w:rPr>
          <w:rFonts w:hint="eastAsia" w:ascii="宋体" w:hAnsi="宋体" w:cs="宋体"/>
        </w:rPr>
        <w:t>款规定的提交首次响应文件截止之日</w:t>
      </w:r>
      <w:r>
        <w:rPr>
          <w:rFonts w:ascii="宋体" w:hAnsi="宋体" w:cs="宋体"/>
        </w:rPr>
        <w:t>3</w:t>
      </w:r>
      <w:r>
        <w:rPr>
          <w:rFonts w:hint="eastAsia" w:ascii="宋体" w:hAnsi="宋体" w:cs="宋体"/>
        </w:rPr>
        <w:t>个工作日前，以书面形式通知所有接收谈判文件的供应商，不足</w:t>
      </w:r>
      <w:r>
        <w:rPr>
          <w:rFonts w:ascii="宋体" w:hAnsi="宋体" w:cs="宋体"/>
        </w:rPr>
        <w:t>3</w:t>
      </w:r>
      <w:r>
        <w:rPr>
          <w:rFonts w:hint="eastAsia" w:ascii="宋体" w:hAnsi="宋体" w:cs="宋体"/>
        </w:rPr>
        <w:t>个工作日的，顺延供应商提交首次响应文件截止时间。</w:t>
      </w:r>
    </w:p>
    <w:p>
      <w:pPr>
        <w:spacing w:line="360" w:lineRule="auto"/>
        <w:ind w:left="902" w:hanging="902"/>
        <w:rPr>
          <w:rFonts w:ascii="黑体" w:hAnsi="黑体" w:eastAsia="黑体" w:cs="Times New Roman"/>
          <w:b/>
          <w:sz w:val="24"/>
          <w:szCs w:val="24"/>
        </w:rPr>
      </w:pPr>
      <w:r>
        <w:rPr>
          <w:rFonts w:hint="eastAsia" w:ascii="黑体" w:hAnsi="黑体" w:eastAsia="黑体" w:cs="黑体"/>
          <w:b/>
          <w:sz w:val="24"/>
          <w:szCs w:val="24"/>
        </w:rPr>
        <w:t>三、响应文件</w:t>
      </w:r>
    </w:p>
    <w:p>
      <w:pPr>
        <w:spacing w:line="360" w:lineRule="auto"/>
        <w:rPr>
          <w:rFonts w:ascii="宋体" w:cs="Times New Roman"/>
          <w:b/>
          <w:bCs/>
        </w:rPr>
      </w:pPr>
      <w:r>
        <w:rPr>
          <w:rFonts w:ascii="宋体" w:hAnsi="宋体" w:cs="宋体"/>
          <w:b/>
          <w:bCs/>
        </w:rPr>
        <w:t>13.</w:t>
      </w:r>
      <w:r>
        <w:rPr>
          <w:rFonts w:hint="eastAsia" w:ascii="宋体" w:hAnsi="宋体" w:cs="宋体"/>
          <w:b/>
          <w:bCs/>
        </w:rPr>
        <w:t>一般要求</w:t>
      </w:r>
    </w:p>
    <w:p>
      <w:pPr>
        <w:spacing w:line="360" w:lineRule="auto"/>
        <w:ind w:firstLine="420"/>
        <w:rPr>
          <w:rFonts w:ascii="宋体" w:cs="Times New Roman"/>
        </w:rPr>
      </w:pPr>
      <w:r>
        <w:rPr>
          <w:rFonts w:ascii="宋体" w:hAnsi="宋体" w:cs="宋体"/>
        </w:rPr>
        <w:t xml:space="preserve">13.1 </w:t>
      </w:r>
      <w:r>
        <w:rPr>
          <w:rFonts w:hint="eastAsia" w:ascii="宋体" w:hAnsi="宋体" w:cs="宋体"/>
        </w:rPr>
        <w:t>供应商应仔细阅读谈判文件的所有内容，按谈判文件的要求编制响应文件，并保证所提供的全部资料的真实性，以使其响应文件对谈判文件做出实质性的响应。</w:t>
      </w:r>
    </w:p>
    <w:p>
      <w:pPr>
        <w:spacing w:line="360" w:lineRule="auto"/>
        <w:ind w:firstLine="420"/>
        <w:rPr>
          <w:rFonts w:ascii="宋体" w:cs="Times New Roman"/>
        </w:rPr>
      </w:pPr>
      <w:r>
        <w:rPr>
          <w:rFonts w:ascii="宋体" w:hAnsi="宋体" w:cs="宋体"/>
        </w:rPr>
        <w:t xml:space="preserve">13.2 </w:t>
      </w:r>
      <w:r>
        <w:rPr>
          <w:rFonts w:hint="eastAsia" w:ascii="宋体" w:hAnsi="宋体" w:cs="宋体"/>
        </w:rPr>
        <w:t>供应商提交的响应文件及供应商与采购人或采购代理机构、谈判小组就有关谈判的所有来往函电均使用中文。供应商可以提交其它语言的资料，但应附中文注释，在有差异时以中文为准。</w:t>
      </w:r>
    </w:p>
    <w:p>
      <w:pPr>
        <w:spacing w:line="360" w:lineRule="auto"/>
        <w:ind w:firstLine="420"/>
        <w:rPr>
          <w:rFonts w:ascii="宋体" w:cs="Times New Roman"/>
        </w:rPr>
      </w:pPr>
      <w:r>
        <w:rPr>
          <w:rFonts w:ascii="宋体" w:hAnsi="宋体" w:cs="宋体"/>
        </w:rPr>
        <w:t xml:space="preserve">13.3 </w:t>
      </w:r>
      <w:r>
        <w:rPr>
          <w:rFonts w:hint="eastAsia" w:ascii="宋体" w:hAnsi="宋体" w:cs="宋体"/>
        </w:rPr>
        <w:t>计量单位应使用我国法定计量单位，未列明时应默认为我国法定计量单位。</w:t>
      </w:r>
    </w:p>
    <w:p>
      <w:pPr>
        <w:spacing w:line="360" w:lineRule="auto"/>
        <w:ind w:firstLine="420"/>
        <w:rPr>
          <w:rFonts w:ascii="宋体" w:cs="Times New Roman"/>
        </w:rPr>
      </w:pPr>
      <w:r>
        <w:rPr>
          <w:rFonts w:ascii="宋体" w:hAnsi="宋体" w:cs="宋体"/>
        </w:rPr>
        <w:t xml:space="preserve">13.4 </w:t>
      </w:r>
      <w:r>
        <w:rPr>
          <w:rFonts w:hint="eastAsia" w:ascii="宋体" w:hAnsi="宋体" w:cs="宋体"/>
        </w:rPr>
        <w:t>响应文件应采用书面形式，电报、传真、电子邮件形式的响应文件概不接受。</w:t>
      </w:r>
    </w:p>
    <w:p>
      <w:pPr>
        <w:spacing w:line="360" w:lineRule="auto"/>
        <w:ind w:firstLine="420"/>
        <w:rPr>
          <w:rFonts w:ascii="宋体" w:cs="Times New Roman"/>
        </w:rPr>
      </w:pPr>
      <w:r>
        <w:rPr>
          <w:rFonts w:ascii="宋体" w:hAnsi="宋体" w:cs="宋体"/>
        </w:rPr>
        <w:t xml:space="preserve">13.5 </w:t>
      </w:r>
      <w:r>
        <w:rPr>
          <w:rFonts w:hint="eastAsia" w:ascii="宋体" w:hAnsi="宋体" w:cs="宋体"/>
        </w:rPr>
        <w:t>供应商应按谈判文件中提供的响应文件格式填写。</w:t>
      </w:r>
    </w:p>
    <w:p>
      <w:pPr>
        <w:spacing w:line="360" w:lineRule="auto"/>
        <w:rPr>
          <w:rFonts w:ascii="宋体" w:cs="Times New Roman"/>
          <w:b/>
          <w:bCs/>
        </w:rPr>
      </w:pPr>
      <w:r>
        <w:rPr>
          <w:rFonts w:ascii="宋体" w:hAnsi="宋体" w:cs="宋体"/>
          <w:b/>
          <w:bCs/>
        </w:rPr>
        <w:t>14.</w:t>
      </w:r>
      <w:r>
        <w:rPr>
          <w:rFonts w:hint="eastAsia" w:ascii="宋体" w:hAnsi="宋体" w:cs="宋体"/>
          <w:b/>
          <w:bCs/>
        </w:rPr>
        <w:t>响应文件的组成</w:t>
      </w:r>
    </w:p>
    <w:p>
      <w:pPr>
        <w:spacing w:line="360" w:lineRule="auto"/>
        <w:ind w:firstLine="420"/>
        <w:jc w:val="left"/>
        <w:rPr>
          <w:rFonts w:ascii="宋体" w:cs="Times New Roman"/>
        </w:rPr>
      </w:pPr>
      <w:r>
        <w:rPr>
          <w:rFonts w:ascii="宋体" w:hAnsi="宋体" w:cs="宋体"/>
        </w:rPr>
        <w:t>14.1</w:t>
      </w:r>
      <w:r>
        <w:rPr>
          <w:rFonts w:hint="eastAsia" w:ascii="宋体" w:hAnsi="宋体" w:cs="宋体"/>
        </w:rPr>
        <w:t>响应文件包括下列内容：</w:t>
      </w:r>
    </w:p>
    <w:p>
      <w:pPr>
        <w:spacing w:line="360" w:lineRule="auto"/>
        <w:ind w:firstLine="420"/>
        <w:rPr>
          <w:rFonts w:ascii="宋体" w:cs="Times New Roman"/>
        </w:rPr>
      </w:pPr>
      <w:r>
        <w:rPr>
          <w:rFonts w:hint="eastAsia" w:ascii="宋体" w:hAnsi="宋体" w:cs="宋体"/>
        </w:rPr>
        <w:t>（</w:t>
      </w:r>
      <w:r>
        <w:rPr>
          <w:rFonts w:ascii="宋体" w:hAnsi="宋体" w:cs="宋体"/>
        </w:rPr>
        <w:t>1</w:t>
      </w:r>
      <w:r>
        <w:rPr>
          <w:rFonts w:hint="eastAsia" w:ascii="宋体" w:hAnsi="宋体" w:cs="宋体"/>
        </w:rPr>
        <w:t>）谈判响应声明</w:t>
      </w:r>
    </w:p>
    <w:p>
      <w:pPr>
        <w:spacing w:line="360" w:lineRule="auto"/>
        <w:ind w:firstLine="420"/>
        <w:rPr>
          <w:rFonts w:ascii="宋体" w:cs="Times New Roman"/>
        </w:rPr>
      </w:pPr>
      <w:r>
        <w:rPr>
          <w:rFonts w:hint="eastAsia" w:ascii="宋体" w:hAnsi="宋体" w:cs="宋体"/>
        </w:rPr>
        <w:t>（</w:t>
      </w:r>
      <w:r>
        <w:rPr>
          <w:rFonts w:ascii="宋体" w:hAnsi="宋体" w:cs="宋体"/>
        </w:rPr>
        <w:t>2</w:t>
      </w:r>
      <w:r>
        <w:rPr>
          <w:rFonts w:hint="eastAsia" w:ascii="宋体" w:hAnsi="宋体" w:cs="宋体"/>
        </w:rPr>
        <w:t>）保证金</w:t>
      </w:r>
    </w:p>
    <w:p>
      <w:pPr>
        <w:spacing w:line="360" w:lineRule="auto"/>
        <w:ind w:firstLine="420"/>
        <w:rPr>
          <w:rFonts w:ascii="宋体" w:cs="Times New Roman"/>
        </w:rPr>
      </w:pPr>
      <w:r>
        <w:rPr>
          <w:rFonts w:hint="eastAsia" w:ascii="宋体" w:hAnsi="宋体" w:cs="宋体"/>
        </w:rPr>
        <w:t>（</w:t>
      </w:r>
      <w:r>
        <w:rPr>
          <w:rFonts w:ascii="宋体" w:hAnsi="宋体" w:cs="宋体"/>
        </w:rPr>
        <w:t>3</w:t>
      </w:r>
      <w:r>
        <w:rPr>
          <w:rFonts w:hint="eastAsia" w:ascii="宋体" w:hAnsi="宋体" w:cs="宋体"/>
        </w:rPr>
        <w:t>）供应商的资格证明文件</w:t>
      </w:r>
    </w:p>
    <w:p>
      <w:pPr>
        <w:spacing w:line="360" w:lineRule="auto"/>
        <w:ind w:firstLine="420"/>
        <w:rPr>
          <w:rFonts w:ascii="宋体" w:cs="Times New Roman"/>
        </w:rPr>
      </w:pPr>
      <w:r>
        <w:rPr>
          <w:rFonts w:hint="eastAsia" w:ascii="宋体" w:hAnsi="宋体" w:cs="宋体"/>
        </w:rPr>
        <w:t>（</w:t>
      </w:r>
      <w:r>
        <w:rPr>
          <w:rFonts w:ascii="宋体" w:hAnsi="宋体" w:cs="宋体"/>
        </w:rPr>
        <w:t>4</w:t>
      </w:r>
      <w:r>
        <w:rPr>
          <w:rFonts w:hint="eastAsia" w:ascii="宋体" w:hAnsi="宋体" w:cs="宋体"/>
        </w:rPr>
        <w:t>）货物说明或者施工组织设计或者服务方案</w:t>
      </w:r>
      <w:r>
        <w:rPr>
          <w:rFonts w:ascii="宋体" w:hAnsi="宋体" w:cs="宋体"/>
        </w:rPr>
        <w:t>(</w:t>
      </w:r>
      <w:r>
        <w:rPr>
          <w:rFonts w:hint="eastAsia" w:ascii="宋体" w:hAnsi="宋体" w:cs="宋体"/>
        </w:rPr>
        <w:t>根据项目属性编制</w:t>
      </w:r>
      <w:r>
        <w:rPr>
          <w:rFonts w:ascii="宋体" w:hAnsi="宋体" w:cs="宋体"/>
        </w:rPr>
        <w:t>)</w:t>
      </w:r>
    </w:p>
    <w:p>
      <w:pPr>
        <w:spacing w:line="360" w:lineRule="auto"/>
        <w:ind w:firstLine="420"/>
        <w:rPr>
          <w:rFonts w:ascii="宋体" w:cs="Times New Roman"/>
        </w:rPr>
      </w:pPr>
      <w:r>
        <w:rPr>
          <w:rFonts w:hint="eastAsia" w:ascii="宋体" w:hAnsi="宋体" w:cs="宋体"/>
        </w:rPr>
        <w:t>（</w:t>
      </w:r>
      <w:r>
        <w:rPr>
          <w:rFonts w:ascii="宋体" w:hAnsi="宋体" w:cs="宋体"/>
        </w:rPr>
        <w:t>5</w:t>
      </w:r>
      <w:r>
        <w:rPr>
          <w:rFonts w:hint="eastAsia" w:ascii="宋体" w:hAnsi="宋体" w:cs="宋体"/>
        </w:rPr>
        <w:t>）技术</w:t>
      </w:r>
      <w:r>
        <w:rPr>
          <w:rFonts w:ascii="宋体" w:hAnsi="宋体" w:cs="宋体"/>
        </w:rPr>
        <w:t>/</w:t>
      </w:r>
      <w:r>
        <w:rPr>
          <w:rFonts w:hint="eastAsia" w:ascii="宋体" w:hAnsi="宋体" w:cs="宋体"/>
        </w:rPr>
        <w:t>商务响应与偏离表</w:t>
      </w:r>
    </w:p>
    <w:p>
      <w:pPr>
        <w:spacing w:line="360" w:lineRule="auto"/>
        <w:ind w:firstLine="420"/>
        <w:rPr>
          <w:rFonts w:ascii="宋体" w:cs="Times New Roman"/>
        </w:rPr>
      </w:pPr>
      <w:r>
        <w:rPr>
          <w:rFonts w:hint="eastAsia" w:ascii="宋体" w:hAnsi="宋体" w:cs="宋体"/>
        </w:rPr>
        <w:t>（</w:t>
      </w:r>
      <w:r>
        <w:rPr>
          <w:rFonts w:ascii="宋体" w:hAnsi="宋体" w:cs="宋体"/>
        </w:rPr>
        <w:t>6</w:t>
      </w:r>
      <w:r>
        <w:rPr>
          <w:rFonts w:hint="eastAsia" w:ascii="宋体" w:hAnsi="宋体" w:cs="宋体"/>
        </w:rPr>
        <w:t>）提供政府采购政策产品清单及有关证明材料</w:t>
      </w:r>
    </w:p>
    <w:p>
      <w:pPr>
        <w:spacing w:line="360" w:lineRule="auto"/>
        <w:ind w:firstLine="420"/>
        <w:rPr>
          <w:rFonts w:ascii="宋体" w:cs="Times New Roman"/>
          <w:color w:val="FF0000"/>
        </w:rPr>
      </w:pPr>
      <w:r>
        <w:rPr>
          <w:rFonts w:hint="eastAsia" w:ascii="宋体" w:hAnsi="宋体" w:cs="宋体"/>
        </w:rPr>
        <w:t>（</w:t>
      </w:r>
      <w:r>
        <w:rPr>
          <w:rFonts w:ascii="宋体" w:hAnsi="宋体" w:cs="宋体"/>
        </w:rPr>
        <w:t>7</w:t>
      </w:r>
      <w:r>
        <w:rPr>
          <w:rFonts w:hint="eastAsia" w:ascii="宋体" w:hAnsi="宋体" w:cs="宋体"/>
        </w:rPr>
        <w:t>）报价一览表及报价文件，以及规定格式的首次报价的报价一览表及报价文件的电子文件</w:t>
      </w:r>
    </w:p>
    <w:p>
      <w:pPr>
        <w:spacing w:line="360" w:lineRule="auto"/>
        <w:ind w:firstLine="420"/>
        <w:rPr>
          <w:rFonts w:ascii="宋体" w:cs="Times New Roman"/>
        </w:rPr>
      </w:pPr>
      <w:r>
        <w:rPr>
          <w:rFonts w:hint="eastAsia" w:ascii="宋体" w:hAnsi="宋体" w:cs="宋体"/>
        </w:rPr>
        <w:t>（</w:t>
      </w:r>
      <w:r>
        <w:rPr>
          <w:rFonts w:ascii="宋体" w:hAnsi="宋体" w:cs="宋体"/>
        </w:rPr>
        <w:t>8</w:t>
      </w:r>
      <w:r>
        <w:rPr>
          <w:rFonts w:hint="eastAsia" w:ascii="宋体" w:hAnsi="宋体" w:cs="宋体"/>
        </w:rPr>
        <w:t>）供应商认为需提供的其他资料</w:t>
      </w:r>
    </w:p>
    <w:p>
      <w:pPr>
        <w:spacing w:line="360" w:lineRule="auto"/>
        <w:ind w:firstLine="420"/>
        <w:rPr>
          <w:rFonts w:ascii="Times New Roman" w:hAnsi="Times New Roman" w:cs="Times New Roman"/>
        </w:rPr>
      </w:pPr>
      <w:r>
        <w:rPr>
          <w:rFonts w:ascii="宋体" w:hAnsi="宋体" w:cs="宋体"/>
        </w:rPr>
        <w:t>14.2</w:t>
      </w:r>
      <w:r>
        <w:rPr>
          <w:rFonts w:hint="eastAsia" w:ascii="宋体" w:hAnsi="宋体" w:cs="宋体"/>
        </w:rPr>
        <w:t>在谈判过程中，供应商根据谈判小组书面形式要求提交的最后报价</w:t>
      </w:r>
      <w:r>
        <w:rPr>
          <w:rFonts w:ascii="Times New Roman" w:hAnsi="Times New Roman" w:cs="Times New Roman"/>
        </w:rPr>
        <w:t>(</w:t>
      </w:r>
      <w:r>
        <w:rPr>
          <w:rFonts w:hint="eastAsia" w:ascii="宋体" w:hAnsi="宋体" w:cs="宋体"/>
        </w:rPr>
        <w:t>或者重新提交的响应文件和最后报价</w:t>
      </w:r>
      <w:r>
        <w:rPr>
          <w:rFonts w:ascii="Times New Roman" w:hAnsi="Times New Roman" w:cs="Times New Roman"/>
        </w:rPr>
        <w:t>)</w:t>
      </w:r>
      <w:r>
        <w:rPr>
          <w:rFonts w:hint="eastAsia" w:ascii="宋体" w:hAnsi="宋体" w:cs="宋体"/>
        </w:rPr>
        <w:t>是响应文件的有效组成部分。</w:t>
      </w:r>
    </w:p>
    <w:p>
      <w:pPr>
        <w:spacing w:line="360" w:lineRule="auto"/>
        <w:ind w:firstLine="420"/>
        <w:rPr>
          <w:rFonts w:ascii="Times New Roman" w:hAnsi="Times New Roman" w:cs="Times New Roman"/>
          <w:b/>
          <w:bCs/>
        </w:rPr>
      </w:pPr>
      <w:r>
        <w:rPr>
          <w:rFonts w:ascii="Times New Roman" w:hAnsi="Times New Roman" w:cs="Times New Roman"/>
        </w:rPr>
        <w:t>14.3</w:t>
      </w:r>
      <w:r>
        <w:rPr>
          <w:rFonts w:hint="eastAsia" w:ascii="宋体" w:hAnsi="宋体" w:cs="宋体"/>
        </w:rPr>
        <w:t>谈判文件规定可能发生实质性变动的，供应商应当在《技术</w:t>
      </w:r>
      <w:r>
        <w:rPr>
          <w:rFonts w:ascii="Times New Roman" w:hAnsi="Times New Roman" w:cs="Times New Roman"/>
        </w:rPr>
        <w:t>/</w:t>
      </w:r>
      <w:r>
        <w:rPr>
          <w:rFonts w:hint="eastAsia" w:ascii="宋体" w:hAnsi="宋体" w:cs="宋体"/>
        </w:rPr>
        <w:t>商务响应与偏离表》中对应内容注明。</w:t>
      </w:r>
    </w:p>
    <w:p>
      <w:pPr>
        <w:spacing w:line="360" w:lineRule="auto"/>
        <w:ind w:firstLine="420"/>
        <w:rPr>
          <w:rFonts w:ascii="宋体" w:cs="Times New Roman"/>
        </w:rPr>
      </w:pPr>
      <w:r>
        <w:rPr>
          <w:rFonts w:ascii="宋体" w:hAnsi="宋体" w:cs="宋体"/>
        </w:rPr>
        <w:t>14.4</w:t>
      </w:r>
      <w:r>
        <w:rPr>
          <w:rFonts w:hint="eastAsia" w:ascii="宋体" w:hAnsi="宋体" w:cs="宋体"/>
        </w:rPr>
        <w:t>根据《政府采购法》第四十二条的规定，供应商无论成交与否，其响应文件不予退还。</w:t>
      </w:r>
    </w:p>
    <w:p>
      <w:pPr>
        <w:spacing w:line="360" w:lineRule="auto"/>
        <w:rPr>
          <w:rFonts w:ascii="宋体" w:cs="Times New Roman"/>
          <w:b/>
          <w:bCs/>
        </w:rPr>
      </w:pPr>
      <w:r>
        <w:rPr>
          <w:rFonts w:ascii="宋体" w:hAnsi="宋体" w:cs="宋体"/>
          <w:b/>
          <w:bCs/>
        </w:rPr>
        <w:t>15.</w:t>
      </w:r>
      <w:r>
        <w:rPr>
          <w:rFonts w:hint="eastAsia" w:ascii="宋体" w:hAnsi="宋体" w:cs="宋体"/>
          <w:b/>
          <w:bCs/>
        </w:rPr>
        <w:t>报价</w:t>
      </w:r>
    </w:p>
    <w:p>
      <w:pPr>
        <w:spacing w:line="360" w:lineRule="auto"/>
        <w:ind w:firstLine="420"/>
        <w:rPr>
          <w:rFonts w:ascii="宋体" w:hAnsi="宋体" w:cs="宋体"/>
        </w:rPr>
      </w:pPr>
      <w:r>
        <w:rPr>
          <w:rFonts w:ascii="宋体" w:hAnsi="宋体" w:cs="宋体"/>
        </w:rPr>
        <w:t>15.1</w:t>
      </w:r>
      <w:r>
        <w:rPr>
          <w:rFonts w:hint="eastAsia" w:ascii="宋体" w:hAnsi="宋体" w:cs="宋体"/>
        </w:rPr>
        <w:t>供应商应当根据谈判文件要求和范围，以人民币报价，以元为单位，保留小数点后两位。</w:t>
      </w:r>
    </w:p>
    <w:p>
      <w:pPr>
        <w:spacing w:line="360" w:lineRule="auto"/>
        <w:ind w:firstLine="420"/>
        <w:rPr>
          <w:rFonts w:ascii="宋体" w:cs="Times New Roman"/>
        </w:rPr>
      </w:pPr>
      <w:r>
        <w:rPr>
          <w:rFonts w:ascii="宋体" w:hAnsi="宋体" w:cs="宋体"/>
        </w:rPr>
        <w:t>15.</w:t>
      </w:r>
      <w:r>
        <w:rPr>
          <w:rFonts w:hint="eastAsia" w:ascii="宋体" w:hAnsi="宋体" w:cs="宋体"/>
        </w:rPr>
        <w:t>2供应商应按第四章“采购需求”要求及第五章</w:t>
      </w:r>
      <w:r>
        <w:rPr>
          <w:rFonts w:hint="eastAsia" w:ascii="宋体" w:cs="宋体"/>
        </w:rPr>
        <w:t>“</w:t>
      </w:r>
      <w:r>
        <w:rPr>
          <w:rFonts w:hint="eastAsia" w:ascii="宋体" w:hAnsi="宋体" w:cs="宋体"/>
        </w:rPr>
        <w:t>响应文件组成</w:t>
      </w:r>
      <w:r>
        <w:rPr>
          <w:rFonts w:hint="eastAsia" w:ascii="宋体" w:cs="宋体"/>
        </w:rPr>
        <w:t>”</w:t>
      </w:r>
      <w:r>
        <w:rPr>
          <w:rFonts w:hint="eastAsia" w:ascii="宋体" w:hAnsi="宋体" w:cs="宋体"/>
        </w:rPr>
        <w:t>格式填写。供应商在本章第</w:t>
      </w:r>
      <w:r>
        <w:rPr>
          <w:rFonts w:ascii="宋体" w:hAnsi="宋体" w:cs="宋体"/>
        </w:rPr>
        <w:t>11.1</w:t>
      </w:r>
      <w:r>
        <w:rPr>
          <w:rFonts w:hint="eastAsia" w:ascii="宋体" w:hAnsi="宋体" w:cs="宋体"/>
        </w:rPr>
        <w:t>款规定的提交首次响应文件截止之日前修改报价一览表中的报价，应同时修改其按第五章要求填写的相应表格中的报价。此修改须符合本章第</w:t>
      </w:r>
      <w:r>
        <w:rPr>
          <w:rFonts w:ascii="宋体" w:hAnsi="宋体" w:cs="宋体"/>
        </w:rPr>
        <w:t>21.1</w:t>
      </w:r>
      <w:r>
        <w:rPr>
          <w:rFonts w:hint="eastAsia" w:ascii="宋体" w:hAnsi="宋体" w:cs="宋体"/>
        </w:rPr>
        <w:t>款的有关要求。</w:t>
      </w:r>
    </w:p>
    <w:p>
      <w:pPr>
        <w:spacing w:line="360" w:lineRule="auto"/>
        <w:ind w:firstLine="422"/>
        <w:rPr>
          <w:rFonts w:ascii="宋体" w:cs="Times New Roman"/>
          <w:bCs/>
        </w:rPr>
      </w:pPr>
      <w:r>
        <w:rPr>
          <w:rFonts w:ascii="宋体" w:hAnsi="宋体" w:cs="宋体"/>
          <w:bCs/>
        </w:rPr>
        <w:t>15.</w:t>
      </w:r>
      <w:r>
        <w:rPr>
          <w:rFonts w:hint="eastAsia" w:ascii="宋体" w:hAnsi="宋体" w:cs="宋体"/>
          <w:bCs/>
        </w:rPr>
        <w:t>3响应文件中标明的价格在合同执行过程中是固定不变的，不得以任何理由予以变更。以可变动价格提交的报价将被认为是非实质响应而被拒绝。</w:t>
      </w:r>
    </w:p>
    <w:p>
      <w:pPr>
        <w:spacing w:line="360" w:lineRule="auto"/>
        <w:ind w:firstLine="420"/>
        <w:rPr>
          <w:rFonts w:ascii="宋体" w:hAnsi="宋体" w:cs="宋体"/>
        </w:rPr>
      </w:pPr>
      <w:r>
        <w:rPr>
          <w:rFonts w:ascii="宋体" w:hAnsi="宋体" w:cs="宋体"/>
        </w:rPr>
        <w:t>15.</w:t>
      </w:r>
      <w:r>
        <w:rPr>
          <w:rFonts w:hint="eastAsia" w:ascii="宋体" w:hAnsi="宋体" w:cs="宋体"/>
        </w:rPr>
        <w:t>4供应商的报价不得超过采购项目预算，采购项目预算或其计算方法见</w:t>
      </w:r>
      <w:r>
        <w:rPr>
          <w:rFonts w:hint="eastAsia" w:ascii="宋体" w:hAnsi="宋体" w:cs="宋体"/>
          <w:b/>
          <w:bCs/>
        </w:rPr>
        <w:t>谈判须知前附表</w:t>
      </w:r>
      <w:r>
        <w:rPr>
          <w:rFonts w:hint="eastAsia" w:ascii="宋体" w:hAnsi="宋体" w:cs="宋体"/>
        </w:rPr>
        <w:t>。</w:t>
      </w:r>
    </w:p>
    <w:p>
      <w:pPr>
        <w:spacing w:line="360" w:lineRule="auto"/>
        <w:ind w:firstLine="420"/>
        <w:rPr>
          <w:rFonts w:ascii="宋体" w:cs="Times New Roman"/>
        </w:rPr>
      </w:pPr>
      <w:r>
        <w:rPr>
          <w:rFonts w:hint="eastAsia" w:ascii="宋体" w:hAnsi="宋体" w:cs="宋体"/>
        </w:rPr>
        <w:t>15.5 除</w:t>
      </w:r>
      <w:r>
        <w:rPr>
          <w:rFonts w:hint="eastAsia" w:ascii="宋体" w:hAnsi="宋体" w:cs="宋体"/>
          <w:b/>
        </w:rPr>
        <w:t>谈判文件前附表</w:t>
      </w:r>
      <w:r>
        <w:rPr>
          <w:rFonts w:hint="eastAsia" w:ascii="宋体" w:hAnsi="宋体" w:cs="宋体"/>
        </w:rPr>
        <w:t>中另有规定外，本次采购不接受备选方案。</w:t>
      </w:r>
    </w:p>
    <w:p>
      <w:pPr>
        <w:spacing w:line="360" w:lineRule="auto"/>
        <w:rPr>
          <w:rFonts w:ascii="宋体" w:cs="Times New Roman"/>
          <w:b/>
          <w:bCs/>
        </w:rPr>
      </w:pPr>
      <w:r>
        <w:rPr>
          <w:rFonts w:ascii="宋体" w:hAnsi="宋体" w:cs="宋体"/>
          <w:b/>
          <w:bCs/>
        </w:rPr>
        <w:t>16.</w:t>
      </w:r>
      <w:r>
        <w:rPr>
          <w:rFonts w:hint="eastAsia" w:ascii="宋体" w:hAnsi="宋体" w:cs="宋体"/>
          <w:b/>
          <w:bCs/>
        </w:rPr>
        <w:t>供应商符合谈判文件规定的证明文件</w:t>
      </w:r>
    </w:p>
    <w:p>
      <w:pPr>
        <w:spacing w:line="360" w:lineRule="auto"/>
        <w:ind w:firstLine="420"/>
        <w:rPr>
          <w:rFonts w:ascii="宋体" w:cs="Times New Roman"/>
        </w:rPr>
      </w:pPr>
      <w:r>
        <w:rPr>
          <w:rFonts w:ascii="宋体" w:hAnsi="宋体" w:cs="宋体"/>
        </w:rPr>
        <w:t>16.1</w:t>
      </w:r>
      <w:r>
        <w:rPr>
          <w:rFonts w:hint="eastAsia" w:ascii="宋体" w:hAnsi="宋体" w:cs="宋体"/>
        </w:rPr>
        <w:t>在谈判小组确定邀请供应商名单起至提交首次响应文件止，供应商资格条件发生重大变化，影响或者可能影响资格条件的，供应商应更新或者补充提供的资格证明材料，以证实其各项条件仍能继续满足本章第</w:t>
      </w:r>
      <w:r>
        <w:rPr>
          <w:rFonts w:ascii="宋体" w:hAnsi="宋体" w:cs="宋体"/>
        </w:rPr>
        <w:t>3.1</w:t>
      </w:r>
      <w:r>
        <w:rPr>
          <w:rFonts w:hint="eastAsia" w:ascii="宋体" w:hAnsi="宋体" w:cs="宋体"/>
        </w:rPr>
        <w:t>款规定的供应商资格条件要求。</w:t>
      </w:r>
    </w:p>
    <w:p>
      <w:pPr>
        <w:spacing w:line="360" w:lineRule="auto"/>
        <w:ind w:firstLine="420"/>
        <w:jc w:val="left"/>
        <w:rPr>
          <w:rFonts w:ascii="宋体" w:cs="Times New Roman"/>
        </w:rPr>
      </w:pPr>
      <w:r>
        <w:rPr>
          <w:rFonts w:ascii="宋体" w:hAnsi="宋体" w:cs="宋体"/>
        </w:rPr>
        <w:t>16.2</w:t>
      </w:r>
      <w:r>
        <w:rPr>
          <w:rFonts w:hint="eastAsia" w:ascii="宋体" w:hAnsi="宋体" w:cs="宋体"/>
        </w:rPr>
        <w:t>供应商为联合体形式的，则应提交联合体各方资格文件、联合体协议，否则将视为非实质响应而被拒绝。</w:t>
      </w:r>
    </w:p>
    <w:p>
      <w:pPr>
        <w:spacing w:line="360" w:lineRule="auto"/>
        <w:rPr>
          <w:rFonts w:ascii="宋体" w:cs="Times New Roman"/>
          <w:b/>
          <w:bCs/>
        </w:rPr>
      </w:pPr>
      <w:r>
        <w:rPr>
          <w:rFonts w:ascii="宋体" w:hAnsi="宋体" w:cs="宋体"/>
          <w:b/>
          <w:bCs/>
        </w:rPr>
        <w:t>17.</w:t>
      </w:r>
      <w:r>
        <w:rPr>
          <w:rFonts w:hint="eastAsia" w:ascii="宋体" w:hAnsi="宋体" w:cs="宋体"/>
          <w:b/>
          <w:bCs/>
        </w:rPr>
        <w:t>保证金</w:t>
      </w:r>
    </w:p>
    <w:p>
      <w:pPr>
        <w:spacing w:line="360" w:lineRule="auto"/>
        <w:ind w:firstLine="420"/>
        <w:rPr>
          <w:rFonts w:ascii="宋体" w:cs="Times New Roman"/>
        </w:rPr>
      </w:pPr>
      <w:r>
        <w:rPr>
          <w:rFonts w:ascii="宋体" w:hAnsi="宋体" w:cs="宋体"/>
        </w:rPr>
        <w:t>17.1</w:t>
      </w:r>
      <w:r>
        <w:rPr>
          <w:rFonts w:hint="eastAsia" w:ascii="宋体" w:hAnsi="宋体" w:cs="宋体"/>
          <w:b/>
          <w:bCs/>
        </w:rPr>
        <w:t>谈判须知前附表</w:t>
      </w:r>
      <w:r>
        <w:rPr>
          <w:rFonts w:hint="eastAsia" w:ascii="宋体" w:hAnsi="宋体" w:cs="宋体"/>
        </w:rPr>
        <w:t>规定交纳保证金的，应按</w:t>
      </w:r>
      <w:r>
        <w:rPr>
          <w:rFonts w:hint="eastAsia" w:ascii="宋体" w:hAnsi="宋体" w:cs="宋体"/>
          <w:b/>
          <w:bCs/>
        </w:rPr>
        <w:t>谈判须知前附表</w:t>
      </w:r>
      <w:r>
        <w:rPr>
          <w:rFonts w:hint="eastAsia" w:ascii="宋体" w:hAnsi="宋体" w:cs="宋体"/>
        </w:rPr>
        <w:t>规定的保证金形式交纳，不得以现金方式交纳，在本章第</w:t>
      </w:r>
      <w:r>
        <w:rPr>
          <w:rFonts w:ascii="宋体" w:hAnsi="宋体" w:cs="宋体"/>
        </w:rPr>
        <w:t>11.1</w:t>
      </w:r>
      <w:r>
        <w:rPr>
          <w:rFonts w:hint="eastAsia" w:ascii="宋体" w:hAnsi="宋体" w:cs="宋体"/>
        </w:rPr>
        <w:t>款规定的提交首次响应文件截止时间前，向采购代理机构交纳不超过采购项目预算</w:t>
      </w:r>
      <w:r>
        <w:rPr>
          <w:rFonts w:ascii="宋体" w:hAnsi="宋体" w:cs="宋体"/>
        </w:rPr>
        <w:t>2</w:t>
      </w:r>
      <w:r>
        <w:rPr>
          <w:rFonts w:hint="eastAsia" w:ascii="宋体" w:hAnsi="宋体" w:cs="宋体"/>
        </w:rPr>
        <w:t>﹪的保证金</w:t>
      </w:r>
      <w:r>
        <w:rPr>
          <w:rFonts w:ascii="宋体" w:hAnsi="宋体" w:cs="宋体"/>
        </w:rPr>
        <w:t>(</w:t>
      </w:r>
      <w:r>
        <w:rPr>
          <w:rFonts w:hint="eastAsia" w:ascii="宋体" w:hAnsi="宋体" w:cs="宋体"/>
        </w:rPr>
        <w:t>数额采用四舍五入，计算至元</w:t>
      </w:r>
      <w:r>
        <w:rPr>
          <w:rFonts w:ascii="宋体" w:hAnsi="宋体" w:cs="宋体"/>
        </w:rPr>
        <w:t>)</w:t>
      </w:r>
      <w:r>
        <w:rPr>
          <w:rFonts w:hint="eastAsia" w:ascii="宋体" w:hAnsi="宋体" w:cs="宋体"/>
        </w:rPr>
        <w:t>。保证金有效期应当与本章第</w:t>
      </w:r>
      <w:r>
        <w:rPr>
          <w:rFonts w:ascii="宋体" w:hAnsi="宋体" w:cs="宋体"/>
        </w:rPr>
        <w:t>18.1</w:t>
      </w:r>
      <w:r>
        <w:rPr>
          <w:rFonts w:hint="eastAsia" w:ascii="宋体" w:hAnsi="宋体" w:cs="宋体"/>
        </w:rPr>
        <w:t>款规定的响应文件有效期一致。</w:t>
      </w:r>
    </w:p>
    <w:p>
      <w:pPr>
        <w:spacing w:line="360" w:lineRule="auto"/>
        <w:ind w:firstLine="420"/>
        <w:rPr>
          <w:rFonts w:ascii="宋体" w:cs="Times New Roman"/>
          <w:b/>
          <w:bCs/>
        </w:rPr>
      </w:pPr>
      <w:r>
        <w:rPr>
          <w:rFonts w:ascii="宋体" w:hAnsi="宋体" w:cs="宋体"/>
        </w:rPr>
        <w:t>17.2</w:t>
      </w:r>
      <w:r>
        <w:rPr>
          <w:rFonts w:hint="eastAsia" w:ascii="宋体" w:hAnsi="宋体" w:cs="宋体"/>
        </w:rPr>
        <w:t>供应商为联合体的，可以由联合体中的一方或者共同交纳保证金，其交纳的保证金，对联合体各方均具有约束力。</w:t>
      </w:r>
    </w:p>
    <w:p>
      <w:pPr>
        <w:spacing w:line="360" w:lineRule="auto"/>
        <w:ind w:firstLine="420"/>
        <w:rPr>
          <w:rFonts w:ascii="宋体" w:cs="Times New Roman"/>
        </w:rPr>
      </w:pPr>
      <w:r>
        <w:rPr>
          <w:rFonts w:ascii="宋体" w:hAnsi="宋体" w:cs="宋体"/>
        </w:rPr>
        <w:t xml:space="preserve">17.3 </w:t>
      </w:r>
      <w:r>
        <w:rPr>
          <w:rFonts w:hint="eastAsia" w:ascii="宋体" w:hAnsi="宋体" w:cs="宋体"/>
        </w:rPr>
        <w:t>未按谈判文件规定提交保证金的，采购人或采购代理机构应当拒绝接收供应商的响应文件。</w:t>
      </w:r>
    </w:p>
    <w:p>
      <w:pPr>
        <w:tabs>
          <w:tab w:val="left" w:pos="6300"/>
        </w:tabs>
        <w:spacing w:line="360" w:lineRule="auto"/>
        <w:ind w:firstLine="420"/>
        <w:rPr>
          <w:rFonts w:ascii="宋体" w:cs="Times New Roman"/>
        </w:rPr>
      </w:pPr>
      <w:r>
        <w:rPr>
          <w:rFonts w:ascii="宋体" w:hAnsi="宋体" w:cs="宋体"/>
        </w:rPr>
        <w:t>17.4</w:t>
      </w:r>
      <w:r>
        <w:rPr>
          <w:rFonts w:hint="eastAsia" w:ascii="宋体" w:hAnsi="宋体" w:cs="宋体"/>
        </w:rPr>
        <w:t>采购代理机构在成交通知书发出后</w:t>
      </w:r>
      <w:r>
        <w:rPr>
          <w:rFonts w:ascii="宋体" w:hAnsi="宋体" w:cs="宋体"/>
        </w:rPr>
        <w:t>5</w:t>
      </w:r>
      <w:r>
        <w:rPr>
          <w:rFonts w:hint="eastAsia" w:ascii="宋体" w:hAnsi="宋体" w:cs="宋体"/>
        </w:rPr>
        <w:t>个工作日内退还未成交供应商的保证金；在采购合同签定后</w:t>
      </w:r>
      <w:r>
        <w:rPr>
          <w:rFonts w:ascii="宋体" w:hAnsi="宋体" w:cs="宋体"/>
        </w:rPr>
        <w:t>5</w:t>
      </w:r>
      <w:r>
        <w:rPr>
          <w:rFonts w:hint="eastAsia" w:ascii="宋体" w:hAnsi="宋体" w:cs="宋体"/>
        </w:rPr>
        <w:t>个工作日内退还成交供应商的保证金，但因供应商自身原因导致无法及时退还的除外。</w:t>
      </w:r>
    </w:p>
    <w:p>
      <w:pPr>
        <w:spacing w:line="360" w:lineRule="auto"/>
        <w:ind w:firstLine="420"/>
        <w:rPr>
          <w:rFonts w:ascii="宋体" w:cs="Times New Roman"/>
        </w:rPr>
      </w:pPr>
      <w:r>
        <w:rPr>
          <w:rFonts w:ascii="宋体" w:hAnsi="宋体" w:cs="宋体"/>
        </w:rPr>
        <w:t xml:space="preserve">17.5 </w:t>
      </w:r>
      <w:r>
        <w:rPr>
          <w:rFonts w:hint="eastAsia" w:ascii="宋体" w:hAnsi="宋体" w:cs="宋体"/>
        </w:rPr>
        <w:t>有下列情形之一的，保证金不予退还，并上缴本级财政国库：</w:t>
      </w:r>
    </w:p>
    <w:p>
      <w:pPr>
        <w:spacing w:line="360" w:lineRule="auto"/>
        <w:ind w:firstLine="420"/>
        <w:jc w:val="left"/>
        <w:rPr>
          <w:rFonts w:ascii="宋体" w:cs="Times New Roman"/>
        </w:rPr>
      </w:pPr>
      <w:r>
        <w:rPr>
          <w:rFonts w:hint="eastAsia" w:ascii="宋体" w:hAnsi="宋体" w:cs="宋体"/>
        </w:rPr>
        <w:t>（</w:t>
      </w:r>
      <w:r>
        <w:rPr>
          <w:rFonts w:ascii="宋体" w:hAnsi="宋体" w:cs="宋体"/>
        </w:rPr>
        <w:t>1</w:t>
      </w:r>
      <w:r>
        <w:rPr>
          <w:rFonts w:hint="eastAsia" w:ascii="宋体" w:hAnsi="宋体" w:cs="宋体"/>
        </w:rPr>
        <w:t>）供应商在本章第</w:t>
      </w:r>
      <w:r>
        <w:rPr>
          <w:rFonts w:ascii="宋体" w:hAnsi="宋体" w:cs="宋体"/>
        </w:rPr>
        <w:t>11.1</w:t>
      </w:r>
      <w:r>
        <w:rPr>
          <w:rFonts w:hint="eastAsia" w:ascii="宋体" w:hAnsi="宋体" w:cs="宋体"/>
        </w:rPr>
        <w:t>款规定的提交首次响应文件截止时间后撤回响应文件的；</w:t>
      </w:r>
    </w:p>
    <w:p>
      <w:pPr>
        <w:spacing w:line="360" w:lineRule="auto"/>
        <w:ind w:firstLine="420"/>
        <w:jc w:val="left"/>
        <w:rPr>
          <w:rFonts w:ascii="宋体" w:cs="Times New Roman"/>
        </w:rPr>
      </w:pPr>
      <w:r>
        <w:rPr>
          <w:rFonts w:hint="eastAsia" w:ascii="宋体" w:hAnsi="宋体" w:cs="宋体"/>
        </w:rPr>
        <w:t>（</w:t>
      </w:r>
      <w:r>
        <w:rPr>
          <w:rFonts w:ascii="宋体" w:hAnsi="宋体" w:cs="宋体"/>
        </w:rPr>
        <w:t>2</w:t>
      </w:r>
      <w:r>
        <w:rPr>
          <w:rFonts w:hint="eastAsia" w:ascii="宋体" w:hAnsi="宋体" w:cs="宋体"/>
        </w:rPr>
        <w:t>）供应商在响应文件中提供虚假材料的；</w:t>
      </w:r>
    </w:p>
    <w:p>
      <w:pPr>
        <w:spacing w:line="360" w:lineRule="auto"/>
        <w:ind w:firstLine="420"/>
        <w:jc w:val="left"/>
        <w:rPr>
          <w:rFonts w:ascii="宋体" w:cs="Times New Roman"/>
        </w:rPr>
      </w:pPr>
      <w:r>
        <w:rPr>
          <w:rFonts w:hint="eastAsia" w:ascii="宋体" w:hAnsi="宋体" w:cs="宋体"/>
        </w:rPr>
        <w:t>（</w:t>
      </w:r>
      <w:r>
        <w:rPr>
          <w:rFonts w:ascii="宋体" w:hAnsi="宋体" w:cs="宋体"/>
        </w:rPr>
        <w:t>3</w:t>
      </w:r>
      <w:r>
        <w:rPr>
          <w:rFonts w:hint="eastAsia" w:ascii="宋体" w:hAnsi="宋体" w:cs="宋体"/>
        </w:rPr>
        <w:t>）除因不可抗力或谈判文件认可的情形以外，成交供应商不与采购人签订合同的；</w:t>
      </w:r>
    </w:p>
    <w:p>
      <w:pPr>
        <w:spacing w:line="360" w:lineRule="auto"/>
        <w:ind w:firstLine="420"/>
        <w:jc w:val="left"/>
        <w:rPr>
          <w:rFonts w:ascii="宋体" w:cs="Times New Roman"/>
        </w:rPr>
      </w:pPr>
      <w:r>
        <w:rPr>
          <w:rFonts w:hint="eastAsia" w:ascii="宋体" w:hAnsi="宋体" w:cs="宋体"/>
        </w:rPr>
        <w:t>（</w:t>
      </w:r>
      <w:r>
        <w:rPr>
          <w:rFonts w:ascii="宋体" w:hAnsi="宋体" w:cs="宋体"/>
        </w:rPr>
        <w:t>4</w:t>
      </w:r>
      <w:r>
        <w:rPr>
          <w:rFonts w:hint="eastAsia" w:ascii="宋体" w:hAnsi="宋体" w:cs="宋体"/>
        </w:rPr>
        <w:t>）供应商与采购人、其他供应商或者采购代理机构恶意串通的；</w:t>
      </w:r>
    </w:p>
    <w:p>
      <w:pPr>
        <w:spacing w:line="360" w:lineRule="auto"/>
        <w:ind w:firstLine="420"/>
        <w:jc w:val="left"/>
        <w:rPr>
          <w:rFonts w:ascii="宋体" w:cs="Times New Roman"/>
        </w:rPr>
      </w:pPr>
      <w:r>
        <w:rPr>
          <w:rFonts w:hint="eastAsia" w:ascii="宋体" w:hAnsi="宋体" w:cs="宋体"/>
        </w:rPr>
        <w:t>（</w:t>
      </w:r>
      <w:r>
        <w:rPr>
          <w:rFonts w:ascii="宋体" w:hAnsi="宋体" w:cs="宋体"/>
        </w:rPr>
        <w:t>5</w:t>
      </w:r>
      <w:r>
        <w:rPr>
          <w:rFonts w:hint="eastAsia" w:ascii="宋体" w:hAnsi="宋体" w:cs="宋体"/>
        </w:rPr>
        <w:t>）谈判文件规定的其他情形。</w:t>
      </w:r>
    </w:p>
    <w:p>
      <w:pPr>
        <w:spacing w:line="360" w:lineRule="auto"/>
        <w:rPr>
          <w:rFonts w:ascii="宋体" w:cs="Times New Roman"/>
          <w:b/>
          <w:bCs/>
        </w:rPr>
      </w:pPr>
      <w:r>
        <w:rPr>
          <w:rFonts w:ascii="宋体" w:hAnsi="宋体" w:cs="宋体"/>
          <w:b/>
          <w:bCs/>
        </w:rPr>
        <w:t>18.</w:t>
      </w:r>
      <w:r>
        <w:rPr>
          <w:rFonts w:hint="eastAsia" w:ascii="宋体" w:hAnsi="宋体" w:cs="宋体"/>
          <w:b/>
          <w:bCs/>
        </w:rPr>
        <w:t>响应文件有效期</w:t>
      </w:r>
    </w:p>
    <w:p>
      <w:pPr>
        <w:spacing w:line="360" w:lineRule="auto"/>
        <w:ind w:firstLine="420"/>
        <w:jc w:val="left"/>
        <w:rPr>
          <w:rFonts w:ascii="Times New Roman" w:hAnsi="Times New Roman" w:cs="Times New Roman"/>
        </w:rPr>
      </w:pPr>
      <w:r>
        <w:rPr>
          <w:rFonts w:ascii="宋体" w:hAnsi="宋体" w:cs="宋体"/>
        </w:rPr>
        <w:t>18.1</w:t>
      </w:r>
      <w:r>
        <w:rPr>
          <w:rFonts w:hint="eastAsia" w:ascii="宋体" w:hAnsi="宋体" w:cs="宋体"/>
        </w:rPr>
        <w:t>响应文件有效期见</w:t>
      </w:r>
      <w:r>
        <w:rPr>
          <w:rFonts w:hint="eastAsia" w:ascii="宋体" w:hAnsi="宋体" w:cs="宋体"/>
          <w:b/>
          <w:bCs/>
        </w:rPr>
        <w:t>谈判须知前附表</w:t>
      </w:r>
      <w:r>
        <w:rPr>
          <w:rFonts w:hint="eastAsia" w:ascii="宋体" w:hAnsi="宋体" w:cs="宋体"/>
        </w:rPr>
        <w:t>，在此期间响应文件对供应商具有法律约束力，从本章第</w:t>
      </w:r>
      <w:r>
        <w:rPr>
          <w:rFonts w:ascii="宋体" w:hAnsi="宋体" w:cs="宋体"/>
        </w:rPr>
        <w:t>11.1</w:t>
      </w:r>
      <w:r>
        <w:rPr>
          <w:rFonts w:hint="eastAsia" w:ascii="宋体" w:hAnsi="宋体" w:cs="宋体"/>
        </w:rPr>
        <w:t>款规定的提交首次响应文件截止时间之日起计算。响应文件有效期不足的将被视为无效响应。</w:t>
      </w:r>
    </w:p>
    <w:p>
      <w:pPr>
        <w:spacing w:line="360" w:lineRule="auto"/>
        <w:rPr>
          <w:rFonts w:ascii="宋体" w:cs="Times New Roman"/>
          <w:b/>
          <w:bCs/>
        </w:rPr>
      </w:pPr>
      <w:r>
        <w:rPr>
          <w:rFonts w:ascii="宋体" w:hAnsi="宋体" w:cs="宋体"/>
          <w:b/>
          <w:bCs/>
        </w:rPr>
        <w:t>19.</w:t>
      </w:r>
      <w:r>
        <w:rPr>
          <w:rFonts w:hint="eastAsia" w:ascii="宋体" w:hAnsi="宋体" w:cs="宋体"/>
          <w:b/>
          <w:bCs/>
        </w:rPr>
        <w:t>响应文件的签署及规定</w:t>
      </w:r>
    </w:p>
    <w:p>
      <w:pPr>
        <w:spacing w:line="360" w:lineRule="auto"/>
        <w:ind w:firstLine="420"/>
        <w:rPr>
          <w:rFonts w:ascii="宋体" w:cs="Times New Roman"/>
        </w:rPr>
      </w:pPr>
      <w:r>
        <w:rPr>
          <w:rFonts w:ascii="宋体" w:hAnsi="宋体" w:cs="宋体"/>
        </w:rPr>
        <w:t>19.1</w:t>
      </w:r>
      <w:r>
        <w:rPr>
          <w:rFonts w:hint="eastAsia" w:ascii="宋体" w:hAnsi="宋体" w:cs="宋体"/>
        </w:rPr>
        <w:t>响应文件的正本和副本应装订成册，正本一份，副本份数见</w:t>
      </w:r>
      <w:r>
        <w:rPr>
          <w:rFonts w:hint="eastAsia" w:ascii="宋体" w:hAnsi="宋体" w:cs="宋体"/>
          <w:b/>
          <w:bCs/>
        </w:rPr>
        <w:t>谈判须知前附表</w:t>
      </w:r>
      <w:r>
        <w:rPr>
          <w:rFonts w:hint="eastAsia" w:ascii="宋体" w:hAnsi="宋体" w:cs="宋体"/>
        </w:rPr>
        <w:t>。正本和副本的封面上应标记</w:t>
      </w:r>
      <w:r>
        <w:rPr>
          <w:rFonts w:hint="eastAsia" w:ascii="宋体" w:cs="宋体"/>
        </w:rPr>
        <w:t>“</w:t>
      </w:r>
      <w:r>
        <w:rPr>
          <w:rFonts w:hint="eastAsia" w:ascii="宋体" w:hAnsi="宋体" w:cs="宋体"/>
        </w:rPr>
        <w:t>正本</w:t>
      </w:r>
      <w:r>
        <w:rPr>
          <w:rFonts w:hint="eastAsia" w:ascii="宋体" w:cs="宋体"/>
        </w:rPr>
        <w:t>”</w:t>
      </w:r>
      <w:r>
        <w:rPr>
          <w:rFonts w:hint="eastAsia" w:ascii="宋体" w:hAnsi="宋体" w:cs="宋体"/>
        </w:rPr>
        <w:t>或</w:t>
      </w:r>
      <w:r>
        <w:rPr>
          <w:rFonts w:hint="eastAsia" w:ascii="宋体" w:cs="宋体"/>
        </w:rPr>
        <w:t>“</w:t>
      </w:r>
      <w:r>
        <w:rPr>
          <w:rFonts w:hint="eastAsia" w:ascii="宋体" w:hAnsi="宋体" w:cs="宋体"/>
        </w:rPr>
        <w:t>副本</w:t>
      </w:r>
      <w:r>
        <w:rPr>
          <w:rFonts w:hint="eastAsia" w:ascii="宋体" w:cs="宋体"/>
        </w:rPr>
        <w:t>”</w:t>
      </w:r>
      <w:r>
        <w:rPr>
          <w:rFonts w:hint="eastAsia" w:ascii="宋体" w:hAnsi="宋体" w:cs="宋体"/>
        </w:rPr>
        <w:t>的字样，当正本和副本有差异时，以正本为准。</w:t>
      </w:r>
    </w:p>
    <w:p>
      <w:pPr>
        <w:spacing w:line="360" w:lineRule="auto"/>
        <w:ind w:firstLine="420"/>
        <w:rPr>
          <w:rFonts w:ascii="宋体" w:cs="Times New Roman"/>
        </w:rPr>
      </w:pPr>
      <w:r>
        <w:rPr>
          <w:rFonts w:ascii="宋体" w:hAnsi="宋体" w:cs="宋体"/>
        </w:rPr>
        <w:t xml:space="preserve">19.2 </w:t>
      </w:r>
      <w:r>
        <w:rPr>
          <w:rFonts w:hint="eastAsia" w:ascii="宋体" w:hAnsi="宋体" w:cs="宋体"/>
        </w:rPr>
        <w:t>响应文件正本和副本应按谈判文件要求签章处盖单位章和由法定代表人或其委托代理人签字；任何加行、涂改、增删，应有法定代表人或其委托代理人在旁边签字。否则，将导致响应文件无效。</w:t>
      </w:r>
    </w:p>
    <w:p>
      <w:pPr>
        <w:spacing w:line="360" w:lineRule="auto"/>
        <w:ind w:firstLine="420"/>
        <w:rPr>
          <w:rFonts w:ascii="宋体" w:cs="Times New Roman"/>
        </w:rPr>
      </w:pPr>
      <w:r>
        <w:rPr>
          <w:rFonts w:ascii="宋体" w:hAnsi="宋体" w:cs="宋体"/>
        </w:rPr>
        <w:t xml:space="preserve">19.3 </w:t>
      </w:r>
      <w:r>
        <w:rPr>
          <w:rFonts w:hint="eastAsia" w:ascii="宋体" w:hAnsi="宋体" w:cs="宋体"/>
        </w:rPr>
        <w:t>在谈判过程中，供应商按谈判文件规定和谈判小组要求提交的最后报价</w:t>
      </w:r>
      <w:r>
        <w:rPr>
          <w:rFonts w:ascii="宋体" w:hAnsi="宋体" w:cs="宋体"/>
        </w:rPr>
        <w:t>(</w:t>
      </w:r>
      <w:r>
        <w:rPr>
          <w:rFonts w:hint="eastAsia" w:ascii="宋体" w:hAnsi="宋体" w:cs="宋体"/>
        </w:rPr>
        <w:t>或者重新提交的响应文件和最后报价</w:t>
      </w:r>
      <w:r>
        <w:rPr>
          <w:rFonts w:ascii="宋体" w:hAnsi="宋体" w:cs="宋体"/>
        </w:rPr>
        <w:t>)</w:t>
      </w:r>
      <w:r>
        <w:rPr>
          <w:rFonts w:hint="eastAsia" w:ascii="宋体" w:hAnsi="宋体" w:cs="宋体"/>
        </w:rPr>
        <w:t>，一式两份，可打印或用不退色墨水书写，但需经法定代表人或其委托代理人签字，或者加盖供应商单位章。否则，将导致响应文件无效。</w:t>
      </w:r>
    </w:p>
    <w:p>
      <w:pPr>
        <w:spacing w:line="360" w:lineRule="auto"/>
        <w:rPr>
          <w:rFonts w:ascii="黑体" w:hAnsi="黑体" w:eastAsia="黑体" w:cs="Times New Roman"/>
          <w:b/>
          <w:sz w:val="24"/>
          <w:szCs w:val="24"/>
        </w:rPr>
      </w:pPr>
      <w:r>
        <w:rPr>
          <w:rFonts w:hint="eastAsia" w:ascii="黑体" w:hAnsi="黑体" w:eastAsia="黑体" w:cs="黑体"/>
          <w:b/>
          <w:sz w:val="24"/>
          <w:szCs w:val="24"/>
        </w:rPr>
        <w:t>四、响应文件的递交</w:t>
      </w:r>
    </w:p>
    <w:p>
      <w:pPr>
        <w:spacing w:line="360" w:lineRule="auto"/>
        <w:rPr>
          <w:rFonts w:ascii="宋体" w:cs="Times New Roman"/>
          <w:b/>
          <w:bCs/>
        </w:rPr>
      </w:pPr>
      <w:r>
        <w:rPr>
          <w:rFonts w:ascii="宋体" w:hAnsi="宋体" w:cs="宋体"/>
          <w:b/>
          <w:bCs/>
        </w:rPr>
        <w:t>20.</w:t>
      </w:r>
      <w:r>
        <w:rPr>
          <w:rFonts w:hint="eastAsia" w:ascii="宋体" w:hAnsi="宋体" w:cs="宋体"/>
          <w:b/>
          <w:bCs/>
        </w:rPr>
        <w:t>响应文件的密封和标记</w:t>
      </w:r>
    </w:p>
    <w:p>
      <w:pPr>
        <w:spacing w:line="360" w:lineRule="auto"/>
        <w:ind w:firstLine="420"/>
        <w:rPr>
          <w:rFonts w:ascii="宋体" w:cs="Times New Roman"/>
        </w:rPr>
      </w:pPr>
      <w:r>
        <w:rPr>
          <w:rFonts w:ascii="宋体" w:hAnsi="宋体" w:cs="宋体"/>
        </w:rPr>
        <w:t>20.1</w:t>
      </w:r>
      <w:r>
        <w:rPr>
          <w:rFonts w:hint="eastAsia" w:ascii="宋体" w:hAnsi="宋体" w:cs="宋体"/>
        </w:rPr>
        <w:t>响应文件应密封包装，加贴封条，并在封套的封口处（封套两端折叠封口处）盖供应商单位章或者由法定代表人或其委托代理人签字。</w:t>
      </w:r>
    </w:p>
    <w:p>
      <w:pPr>
        <w:spacing w:line="360" w:lineRule="auto"/>
        <w:ind w:firstLine="420"/>
        <w:jc w:val="left"/>
        <w:rPr>
          <w:rFonts w:ascii="宋体" w:cs="Times New Roman"/>
        </w:rPr>
      </w:pPr>
      <w:r>
        <w:rPr>
          <w:rFonts w:ascii="宋体" w:hAnsi="宋体" w:cs="宋体"/>
        </w:rPr>
        <w:t>20.2</w:t>
      </w:r>
      <w:r>
        <w:rPr>
          <w:rFonts w:hint="eastAsia" w:ascii="宋体" w:hAnsi="宋体" w:cs="宋体"/>
        </w:rPr>
        <w:t>响应文件封套上应写明的内容见</w:t>
      </w:r>
      <w:r>
        <w:rPr>
          <w:rFonts w:hint="eastAsia" w:ascii="宋体" w:hAnsi="宋体" w:cs="宋体"/>
          <w:b/>
          <w:bCs/>
        </w:rPr>
        <w:t>谈判须知前附表。</w:t>
      </w:r>
    </w:p>
    <w:p>
      <w:pPr>
        <w:spacing w:line="360" w:lineRule="auto"/>
        <w:ind w:firstLine="420"/>
        <w:jc w:val="left"/>
        <w:rPr>
          <w:rFonts w:ascii="宋体" w:cs="Times New Roman"/>
        </w:rPr>
      </w:pPr>
      <w:r>
        <w:rPr>
          <w:rFonts w:ascii="宋体" w:hAnsi="宋体" w:cs="宋体"/>
        </w:rPr>
        <w:t>20.3</w:t>
      </w:r>
      <w:r>
        <w:rPr>
          <w:rFonts w:hint="eastAsia" w:ascii="宋体" w:hAnsi="宋体" w:cs="宋体"/>
        </w:rPr>
        <w:t>响应文件如果未按上述规定密封和加写标记，采购人或采购代理机构将拒绝接收。</w:t>
      </w:r>
    </w:p>
    <w:p>
      <w:pPr>
        <w:spacing w:line="360" w:lineRule="auto"/>
        <w:rPr>
          <w:rFonts w:ascii="宋体" w:cs="Times New Roman"/>
          <w:b/>
          <w:bCs/>
        </w:rPr>
      </w:pPr>
      <w:r>
        <w:rPr>
          <w:rFonts w:ascii="宋体" w:hAnsi="宋体" w:cs="宋体"/>
          <w:b/>
          <w:bCs/>
        </w:rPr>
        <w:t>21.</w:t>
      </w:r>
      <w:r>
        <w:rPr>
          <w:rFonts w:hint="eastAsia" w:ascii="宋体" w:hAnsi="宋体" w:cs="宋体"/>
          <w:b/>
          <w:bCs/>
        </w:rPr>
        <w:t>响应文件的补充、修改或者撤回</w:t>
      </w:r>
    </w:p>
    <w:p>
      <w:pPr>
        <w:spacing w:line="360" w:lineRule="auto"/>
        <w:ind w:firstLine="420"/>
        <w:rPr>
          <w:rFonts w:ascii="宋体" w:cs="Times New Roman"/>
        </w:rPr>
      </w:pPr>
      <w:r>
        <w:rPr>
          <w:rFonts w:ascii="宋体" w:hAnsi="宋体" w:cs="宋体"/>
        </w:rPr>
        <w:t>21.1</w:t>
      </w:r>
      <w:r>
        <w:rPr>
          <w:rFonts w:hint="eastAsia" w:ascii="宋体" w:hAnsi="宋体" w:cs="宋体"/>
        </w:rPr>
        <w:t>供应商在本章第</w:t>
      </w:r>
      <w:r>
        <w:rPr>
          <w:rFonts w:ascii="宋体" w:hAnsi="宋体" w:cs="宋体"/>
        </w:rPr>
        <w:t>11.1</w:t>
      </w:r>
      <w:r>
        <w:rPr>
          <w:rFonts w:hint="eastAsia" w:ascii="宋体" w:hAnsi="宋体" w:cs="宋体"/>
        </w:rPr>
        <w:t>款规定的提交首次响应文件截止时间前，可以对所提交的首次响应文件进行补充、修改或者撤回，并书面通知采购人、采购代理机构。该通知应有供应商法定代表人或其委托代理人签字。</w:t>
      </w:r>
    </w:p>
    <w:p>
      <w:pPr>
        <w:spacing w:line="360" w:lineRule="auto"/>
        <w:ind w:firstLine="420"/>
        <w:rPr>
          <w:rFonts w:ascii="宋体" w:cs="Times New Roman"/>
        </w:rPr>
      </w:pPr>
      <w:r>
        <w:rPr>
          <w:rFonts w:ascii="宋体" w:hAnsi="宋体" w:cs="宋体"/>
        </w:rPr>
        <w:t>21.2</w:t>
      </w:r>
      <w:r>
        <w:rPr>
          <w:rFonts w:hint="eastAsia" w:ascii="宋体" w:hAnsi="宋体" w:cs="宋体"/>
        </w:rPr>
        <w:t>补充、修改的内容与响应文件不一致时，以补充、修改的内容为准。</w:t>
      </w:r>
    </w:p>
    <w:p>
      <w:pPr>
        <w:spacing w:line="360" w:lineRule="auto"/>
        <w:rPr>
          <w:rFonts w:ascii="宋体" w:cs="Times New Roman"/>
          <w:b/>
          <w:bCs/>
        </w:rPr>
      </w:pPr>
      <w:r>
        <w:rPr>
          <w:rFonts w:ascii="宋体" w:hAnsi="宋体" w:cs="宋体"/>
          <w:b/>
          <w:bCs/>
        </w:rPr>
        <w:t>22.</w:t>
      </w:r>
      <w:r>
        <w:rPr>
          <w:rFonts w:hint="eastAsia" w:ascii="宋体" w:hAnsi="宋体" w:cs="宋体"/>
          <w:b/>
          <w:bCs/>
        </w:rPr>
        <w:t>响应文件的递交与接收</w:t>
      </w:r>
    </w:p>
    <w:p>
      <w:pPr>
        <w:spacing w:line="360" w:lineRule="auto"/>
        <w:ind w:firstLine="420"/>
        <w:rPr>
          <w:rFonts w:ascii="宋体" w:cs="Times New Roman"/>
        </w:rPr>
      </w:pPr>
      <w:r>
        <w:rPr>
          <w:rFonts w:ascii="宋体" w:hAnsi="宋体" w:cs="宋体"/>
        </w:rPr>
        <w:t xml:space="preserve">22.1 </w:t>
      </w:r>
      <w:r>
        <w:rPr>
          <w:rFonts w:hint="eastAsia" w:ascii="宋体" w:hAnsi="宋体" w:cs="宋体"/>
        </w:rPr>
        <w:t>供应商应在本章第</w:t>
      </w:r>
      <w:r>
        <w:rPr>
          <w:rFonts w:ascii="宋体" w:hAnsi="宋体" w:cs="宋体"/>
        </w:rPr>
        <w:t>11.1</w:t>
      </w:r>
      <w:r>
        <w:rPr>
          <w:rFonts w:hint="eastAsia" w:ascii="宋体" w:hAnsi="宋体" w:cs="宋体"/>
        </w:rPr>
        <w:t>款规定的提交首次响应文件截止时间前，将响应文件送达</w:t>
      </w:r>
      <w:r>
        <w:rPr>
          <w:rFonts w:hint="eastAsia" w:ascii="宋体" w:hAnsi="宋体" w:cs="宋体"/>
          <w:b/>
          <w:bCs/>
        </w:rPr>
        <w:t>谈判须知前附表</w:t>
      </w:r>
      <w:r>
        <w:rPr>
          <w:rFonts w:hint="eastAsia" w:ascii="宋体" w:hAnsi="宋体" w:cs="宋体"/>
        </w:rPr>
        <w:t>中指定的地点。在截止时间后送达的响应文件，采购人、采购代理机构或者谈判小组应当拒收。</w:t>
      </w:r>
    </w:p>
    <w:p>
      <w:pPr>
        <w:spacing w:line="360" w:lineRule="auto"/>
        <w:ind w:firstLine="420"/>
        <w:rPr>
          <w:rFonts w:ascii="宋体" w:cs="Times New Roman"/>
        </w:rPr>
      </w:pPr>
      <w:r>
        <w:rPr>
          <w:rFonts w:ascii="宋体" w:hAnsi="宋体" w:cs="宋体"/>
        </w:rPr>
        <w:t>22.2</w:t>
      </w:r>
      <w:r>
        <w:rPr>
          <w:rFonts w:hint="eastAsia" w:ascii="宋体" w:hAnsi="宋体" w:cs="宋体"/>
        </w:rPr>
        <w:t>在本章第</w:t>
      </w:r>
      <w:r>
        <w:rPr>
          <w:rFonts w:ascii="宋体" w:hAnsi="宋体" w:cs="宋体"/>
        </w:rPr>
        <w:t>11.1</w:t>
      </w:r>
      <w:r>
        <w:rPr>
          <w:rFonts w:hint="eastAsia" w:ascii="宋体" w:hAnsi="宋体" w:cs="宋体"/>
        </w:rPr>
        <w:t>款规定的提交首次响应文件截止时间后，由供应商代表当场查验响应文件的密封状况，采购人或采购代理机构不当场拆封响应文件。</w:t>
      </w:r>
    </w:p>
    <w:p>
      <w:pPr>
        <w:spacing w:line="360" w:lineRule="auto"/>
        <w:rPr>
          <w:rFonts w:ascii="黑体" w:hAnsi="黑体" w:eastAsia="黑体" w:cs="Times New Roman"/>
          <w:b/>
          <w:sz w:val="24"/>
          <w:szCs w:val="24"/>
        </w:rPr>
      </w:pPr>
      <w:r>
        <w:rPr>
          <w:rFonts w:hint="eastAsia" w:ascii="黑体" w:hAnsi="黑体" w:eastAsia="黑体" w:cs="黑体"/>
          <w:b/>
          <w:sz w:val="24"/>
          <w:szCs w:val="24"/>
        </w:rPr>
        <w:t>五、响应文件的评审与谈判</w:t>
      </w:r>
    </w:p>
    <w:p>
      <w:pPr>
        <w:tabs>
          <w:tab w:val="left" w:pos="0"/>
        </w:tabs>
        <w:spacing w:line="360" w:lineRule="auto"/>
        <w:rPr>
          <w:rFonts w:ascii="宋体" w:cs="Times New Roman"/>
          <w:b/>
          <w:bCs/>
        </w:rPr>
      </w:pPr>
      <w:r>
        <w:rPr>
          <w:rFonts w:ascii="宋体" w:hAnsi="宋体" w:cs="宋体"/>
          <w:b/>
          <w:bCs/>
        </w:rPr>
        <w:t>23.</w:t>
      </w:r>
      <w:r>
        <w:rPr>
          <w:rFonts w:hint="eastAsia" w:ascii="宋体" w:hAnsi="宋体" w:cs="宋体"/>
          <w:b/>
          <w:bCs/>
        </w:rPr>
        <w:t>供应商资格审查</w:t>
      </w:r>
    </w:p>
    <w:p>
      <w:pPr>
        <w:spacing w:line="360" w:lineRule="auto"/>
        <w:ind w:firstLine="420"/>
        <w:rPr>
          <w:rFonts w:ascii="宋体" w:cs="Times New Roman"/>
        </w:rPr>
      </w:pPr>
      <w:r>
        <w:rPr>
          <w:rFonts w:ascii="宋体" w:hAnsi="宋体" w:cs="宋体"/>
        </w:rPr>
        <w:t>23.1</w:t>
      </w:r>
      <w:r>
        <w:rPr>
          <w:rFonts w:hint="eastAsia" w:ascii="宋体" w:hAnsi="宋体" w:cs="宋体"/>
        </w:rPr>
        <w:t>供应商有本章第</w:t>
      </w:r>
      <w:r>
        <w:rPr>
          <w:rFonts w:ascii="宋体" w:hAnsi="宋体" w:cs="宋体"/>
        </w:rPr>
        <w:t>16.1</w:t>
      </w:r>
      <w:r>
        <w:rPr>
          <w:rFonts w:hint="eastAsia" w:ascii="宋体" w:hAnsi="宋体" w:cs="宋体"/>
        </w:rPr>
        <w:t>款情形的，谈判小组将根据本章第</w:t>
      </w:r>
      <w:r>
        <w:rPr>
          <w:rFonts w:ascii="宋体" w:hAnsi="宋体" w:cs="宋体"/>
        </w:rPr>
        <w:t>3.1</w:t>
      </w:r>
      <w:r>
        <w:rPr>
          <w:rFonts w:hint="eastAsia" w:ascii="宋体" w:hAnsi="宋体" w:cs="宋体"/>
        </w:rPr>
        <w:t>款规定的供应商资格条件要求，对更新或补充提供的资格证明材料进行审查。不满足资格条件的，视为无效响应。</w:t>
      </w:r>
    </w:p>
    <w:p>
      <w:pPr>
        <w:spacing w:line="360" w:lineRule="auto"/>
        <w:ind w:firstLine="420"/>
        <w:jc w:val="left"/>
        <w:rPr>
          <w:rFonts w:ascii="宋体" w:cs="Times New Roman"/>
        </w:rPr>
      </w:pPr>
      <w:r>
        <w:rPr>
          <w:rFonts w:ascii="宋体" w:hAnsi="宋体" w:cs="宋体"/>
        </w:rPr>
        <w:t>23.2</w:t>
      </w:r>
      <w:r>
        <w:rPr>
          <w:rFonts w:hint="eastAsia" w:ascii="宋体" w:hAnsi="宋体" w:cs="宋体"/>
        </w:rPr>
        <w:t>供应商为联合体的，谈判小组将根据本章第</w:t>
      </w:r>
      <w:r>
        <w:rPr>
          <w:rFonts w:ascii="宋体" w:hAnsi="宋体" w:cs="宋体"/>
        </w:rPr>
        <w:t>6.2</w:t>
      </w:r>
      <w:r>
        <w:rPr>
          <w:rFonts w:hint="eastAsia" w:ascii="宋体" w:hAnsi="宋体" w:cs="宋体"/>
        </w:rPr>
        <w:t>款的规定对联合体各方资格文件、联合体协议进行审查，不满足资格条件的，视为无效响应。</w:t>
      </w:r>
    </w:p>
    <w:p>
      <w:pPr>
        <w:spacing w:line="360" w:lineRule="auto"/>
        <w:ind w:firstLine="420"/>
        <w:rPr>
          <w:rFonts w:ascii="宋体" w:cs="Times New Roman"/>
        </w:rPr>
      </w:pPr>
      <w:r>
        <w:rPr>
          <w:rFonts w:ascii="宋体" w:hAnsi="宋体" w:cs="宋体"/>
        </w:rPr>
        <w:t>23.3</w:t>
      </w:r>
      <w:r>
        <w:rPr>
          <w:rFonts w:hint="eastAsia" w:ascii="宋体" w:hAnsi="宋体" w:cs="宋体"/>
        </w:rPr>
        <w:t>除本章第</w:t>
      </w:r>
      <w:r>
        <w:rPr>
          <w:rFonts w:ascii="宋体" w:hAnsi="宋体" w:cs="宋体"/>
        </w:rPr>
        <w:t>16.1</w:t>
      </w:r>
      <w:r>
        <w:rPr>
          <w:rFonts w:hint="eastAsia" w:ascii="宋体" w:hAnsi="宋体" w:cs="宋体"/>
        </w:rPr>
        <w:t>款、第</w:t>
      </w:r>
      <w:r>
        <w:rPr>
          <w:rFonts w:ascii="宋体" w:hAnsi="宋体" w:cs="宋体"/>
        </w:rPr>
        <w:t>16.2</w:t>
      </w:r>
      <w:r>
        <w:rPr>
          <w:rFonts w:hint="eastAsia" w:ascii="宋体" w:hAnsi="宋体" w:cs="宋体"/>
        </w:rPr>
        <w:t>款情形外，谈判小组不再对供应商进行资格审查。</w:t>
      </w:r>
    </w:p>
    <w:p>
      <w:pPr>
        <w:tabs>
          <w:tab w:val="left" w:pos="0"/>
        </w:tabs>
        <w:spacing w:line="360" w:lineRule="auto"/>
        <w:rPr>
          <w:rFonts w:ascii="宋体" w:cs="Times New Roman"/>
          <w:b/>
          <w:bCs/>
        </w:rPr>
      </w:pPr>
      <w:r>
        <w:rPr>
          <w:rFonts w:ascii="宋体" w:hAnsi="宋体" w:cs="宋体"/>
          <w:b/>
          <w:bCs/>
        </w:rPr>
        <w:t>24.</w:t>
      </w:r>
      <w:r>
        <w:rPr>
          <w:rFonts w:hint="eastAsia" w:ascii="宋体" w:hAnsi="宋体" w:cs="宋体"/>
          <w:b/>
          <w:bCs/>
        </w:rPr>
        <w:t>谈判程序</w:t>
      </w:r>
    </w:p>
    <w:p>
      <w:pPr>
        <w:spacing w:line="360" w:lineRule="auto"/>
        <w:ind w:firstLine="420"/>
        <w:jc w:val="left"/>
        <w:rPr>
          <w:rFonts w:ascii="宋体" w:cs="Times New Roman"/>
        </w:rPr>
      </w:pPr>
      <w:r>
        <w:rPr>
          <w:rFonts w:ascii="宋体" w:hAnsi="宋体" w:cs="宋体"/>
        </w:rPr>
        <w:t>24.1</w:t>
      </w:r>
      <w:r>
        <w:rPr>
          <w:rFonts w:hint="eastAsia" w:ascii="宋体" w:hAnsi="宋体" w:cs="宋体"/>
        </w:rPr>
        <w:t>谈判程序：初步审查、谈判（包括澄清、符合性评审查）、提出成交供应商。其中，谈判按本章第</w:t>
      </w:r>
      <w:r>
        <w:rPr>
          <w:rFonts w:ascii="宋体" w:hAnsi="宋体" w:cs="宋体"/>
        </w:rPr>
        <w:t>29.1</w:t>
      </w:r>
      <w:r>
        <w:rPr>
          <w:rFonts w:hint="eastAsia" w:ascii="宋体" w:hAnsi="宋体" w:cs="宋体"/>
        </w:rPr>
        <w:t>款或者第</w:t>
      </w:r>
      <w:r>
        <w:rPr>
          <w:rFonts w:ascii="宋体" w:hAnsi="宋体" w:cs="宋体"/>
        </w:rPr>
        <w:t>29.2</w:t>
      </w:r>
      <w:r>
        <w:rPr>
          <w:rFonts w:hint="eastAsia" w:ascii="宋体" w:hAnsi="宋体" w:cs="宋体"/>
        </w:rPr>
        <w:t>款情形进行。</w:t>
      </w:r>
    </w:p>
    <w:p>
      <w:pPr>
        <w:spacing w:line="360" w:lineRule="auto"/>
        <w:rPr>
          <w:rFonts w:ascii="宋体" w:cs="Times New Roman"/>
          <w:b/>
          <w:bCs/>
        </w:rPr>
      </w:pPr>
      <w:r>
        <w:rPr>
          <w:rFonts w:ascii="宋体" w:hAnsi="宋体" w:cs="宋体"/>
          <w:b/>
          <w:bCs/>
        </w:rPr>
        <w:t>25.</w:t>
      </w:r>
      <w:r>
        <w:rPr>
          <w:rFonts w:hint="eastAsia" w:ascii="宋体" w:hAnsi="宋体" w:cs="宋体"/>
          <w:b/>
          <w:bCs/>
        </w:rPr>
        <w:t>初步审查</w:t>
      </w:r>
    </w:p>
    <w:p>
      <w:pPr>
        <w:spacing w:line="360" w:lineRule="auto"/>
        <w:ind w:firstLine="420"/>
        <w:jc w:val="left"/>
        <w:rPr>
          <w:rFonts w:ascii="宋体" w:cs="Times New Roman"/>
        </w:rPr>
      </w:pPr>
      <w:r>
        <w:rPr>
          <w:rFonts w:ascii="宋体" w:hAnsi="宋体" w:cs="宋体"/>
        </w:rPr>
        <w:t>25.1</w:t>
      </w:r>
      <w:r>
        <w:rPr>
          <w:rFonts w:hint="eastAsia" w:ascii="宋体" w:hAnsi="宋体" w:cs="宋体"/>
        </w:rPr>
        <w:t>谈判小组应当对供应商提交的首次响应文件进行初步审查。响应文件有下列情况之一，其响应文件无效，谈判小组应当告知有关供应商。</w:t>
      </w:r>
    </w:p>
    <w:p>
      <w:pPr>
        <w:spacing w:line="360" w:lineRule="auto"/>
        <w:ind w:firstLine="420"/>
        <w:rPr>
          <w:rFonts w:ascii="宋体" w:cs="Times New Roman"/>
        </w:rPr>
      </w:pPr>
      <w:r>
        <w:rPr>
          <w:rFonts w:hint="eastAsia" w:ascii="宋体" w:hAnsi="宋体" w:cs="宋体"/>
        </w:rPr>
        <w:t>（</w:t>
      </w:r>
      <w:r>
        <w:rPr>
          <w:rFonts w:ascii="宋体" w:hAnsi="宋体" w:cs="宋体"/>
        </w:rPr>
        <w:t>1</w:t>
      </w:r>
      <w:r>
        <w:rPr>
          <w:rFonts w:hint="eastAsia" w:ascii="宋体" w:hAnsi="宋体" w:cs="宋体"/>
        </w:rPr>
        <w:t>）应交未交保证金或金额不足、保函有效期不足、保证金形式或保函出证机构不符合谈判文件要求的；</w:t>
      </w:r>
    </w:p>
    <w:p>
      <w:pPr>
        <w:tabs>
          <w:tab w:val="left" w:pos="735"/>
          <w:tab w:val="left" w:pos="7560"/>
          <w:tab w:val="left" w:pos="7740"/>
          <w:tab w:val="left" w:pos="7920"/>
        </w:tabs>
        <w:spacing w:line="360" w:lineRule="auto"/>
        <w:ind w:right="300" w:firstLine="420"/>
        <w:rPr>
          <w:rFonts w:ascii="宋体" w:cs="Times New Roman"/>
        </w:rPr>
      </w:pPr>
      <w:r>
        <w:rPr>
          <w:rFonts w:hint="eastAsia" w:ascii="宋体" w:hAnsi="宋体" w:cs="宋体"/>
        </w:rPr>
        <w:t>（</w:t>
      </w:r>
      <w:r>
        <w:rPr>
          <w:rFonts w:ascii="宋体" w:hAnsi="宋体" w:cs="宋体"/>
        </w:rPr>
        <w:t>2</w:t>
      </w:r>
      <w:r>
        <w:rPr>
          <w:rFonts w:hint="eastAsia" w:ascii="宋体" w:hAnsi="宋体" w:cs="宋体"/>
        </w:rPr>
        <w:t>）未按照谈判文件规定要求签署、盖章的；</w:t>
      </w:r>
    </w:p>
    <w:p>
      <w:pPr>
        <w:spacing w:line="360" w:lineRule="auto"/>
        <w:ind w:firstLine="420"/>
        <w:jc w:val="left"/>
        <w:rPr>
          <w:rFonts w:ascii="宋体" w:cs="Times New Roman"/>
        </w:rPr>
      </w:pPr>
      <w:r>
        <w:rPr>
          <w:rFonts w:hint="eastAsia" w:ascii="宋体" w:hAnsi="宋体" w:cs="宋体"/>
        </w:rPr>
        <w:t>（</w:t>
      </w:r>
      <w:r>
        <w:rPr>
          <w:rFonts w:ascii="宋体" w:hAnsi="宋体" w:cs="宋体"/>
        </w:rPr>
        <w:t>3</w:t>
      </w:r>
      <w:r>
        <w:rPr>
          <w:rFonts w:hint="eastAsia" w:ascii="宋体" w:hAnsi="宋体" w:cs="宋体"/>
        </w:rPr>
        <w:t>）响应文件有效期不足的；</w:t>
      </w:r>
    </w:p>
    <w:p>
      <w:pPr>
        <w:spacing w:line="360" w:lineRule="auto"/>
        <w:ind w:firstLine="420"/>
        <w:jc w:val="left"/>
        <w:rPr>
          <w:rFonts w:ascii="宋体" w:cs="Times New Roman"/>
        </w:rPr>
      </w:pPr>
      <w:r>
        <w:rPr>
          <w:rFonts w:hint="eastAsia" w:ascii="宋体" w:hAnsi="宋体" w:cs="宋体"/>
        </w:rPr>
        <w:t>（</w:t>
      </w:r>
      <w:r>
        <w:rPr>
          <w:rFonts w:ascii="宋体" w:hAnsi="宋体" w:cs="宋体"/>
        </w:rPr>
        <w:t>4</w:t>
      </w:r>
      <w:r>
        <w:rPr>
          <w:rFonts w:hint="eastAsia" w:ascii="宋体" w:hAnsi="宋体" w:cs="宋体"/>
        </w:rPr>
        <w:t>）不符合法律、规章、规范性文件和谈判文件规定的。</w:t>
      </w:r>
    </w:p>
    <w:p>
      <w:pPr>
        <w:spacing w:line="360" w:lineRule="auto"/>
        <w:rPr>
          <w:rFonts w:ascii="宋体" w:cs="Times New Roman"/>
          <w:b/>
          <w:bCs/>
        </w:rPr>
      </w:pPr>
      <w:r>
        <w:rPr>
          <w:rFonts w:ascii="宋体" w:hAnsi="宋体" w:cs="宋体"/>
          <w:b/>
          <w:bCs/>
        </w:rPr>
        <w:t>26.</w:t>
      </w:r>
      <w:r>
        <w:rPr>
          <w:rFonts w:hint="eastAsia" w:ascii="宋体" w:hAnsi="宋体" w:cs="宋体"/>
          <w:b/>
          <w:bCs/>
        </w:rPr>
        <w:t>实质性响应</w:t>
      </w:r>
    </w:p>
    <w:p>
      <w:pPr>
        <w:spacing w:line="360" w:lineRule="auto"/>
        <w:ind w:firstLine="420"/>
        <w:rPr>
          <w:rFonts w:ascii="宋体" w:cs="Times New Roman"/>
          <w:u w:val="single"/>
        </w:rPr>
      </w:pPr>
      <w:r>
        <w:rPr>
          <w:rFonts w:ascii="宋体" w:hAnsi="宋体" w:cs="宋体"/>
        </w:rPr>
        <w:t>26.1</w:t>
      </w:r>
      <w:r>
        <w:rPr>
          <w:rFonts w:hint="eastAsia" w:ascii="宋体" w:hAnsi="宋体" w:cs="宋体"/>
        </w:rPr>
        <w:t>实质性响应是指响应文件</w:t>
      </w:r>
      <w:r>
        <w:rPr>
          <w:rFonts w:ascii="宋体" w:hAnsi="宋体" w:cs="宋体"/>
        </w:rPr>
        <w:t>(</w:t>
      </w:r>
      <w:r>
        <w:rPr>
          <w:rFonts w:hint="eastAsia" w:ascii="宋体" w:hAnsi="宋体" w:cs="宋体"/>
        </w:rPr>
        <w:t>包括首次响应文件、重新提交的响应文件</w:t>
      </w:r>
      <w:r>
        <w:rPr>
          <w:rFonts w:ascii="宋体" w:hAnsi="宋体" w:cs="宋体"/>
        </w:rPr>
        <w:t>)</w:t>
      </w:r>
      <w:r>
        <w:rPr>
          <w:rFonts w:hint="eastAsia" w:ascii="宋体" w:hAnsi="宋体" w:cs="宋体"/>
        </w:rPr>
        <w:t>与谈判文件要求的所有条款、条件和规格相符，没有偏离。偏离指不满足、或不响应谈判文件的要求。</w:t>
      </w:r>
    </w:p>
    <w:p>
      <w:pPr>
        <w:tabs>
          <w:tab w:val="left" w:pos="0"/>
          <w:tab w:val="left" w:pos="7560"/>
          <w:tab w:val="left" w:pos="7740"/>
          <w:tab w:val="left" w:pos="7920"/>
        </w:tabs>
        <w:spacing w:line="360" w:lineRule="auto"/>
        <w:ind w:right="23" w:firstLine="420"/>
        <w:rPr>
          <w:rFonts w:ascii="宋体" w:cs="Times New Roman"/>
        </w:rPr>
      </w:pPr>
      <w:r>
        <w:rPr>
          <w:rFonts w:ascii="宋体" w:hAnsi="宋体" w:cs="宋体"/>
          <w:color w:val="000000" w:themeColor="text1"/>
        </w:rPr>
        <w:t>26.2</w:t>
      </w:r>
      <w:r>
        <w:rPr>
          <w:rFonts w:hint="eastAsia" w:ascii="宋体" w:hAnsi="宋体" w:cs="宋体"/>
          <w:color w:val="000000" w:themeColor="text1"/>
        </w:rPr>
        <w:t>响应文</w:t>
      </w:r>
      <w:r>
        <w:rPr>
          <w:rFonts w:hint="eastAsia" w:ascii="宋体" w:hAnsi="宋体" w:cs="宋体"/>
        </w:rPr>
        <w:t>件是否实质性响应谈判文件要求由谈判小组依据谈判文件规定认定。谈判小组决定响应文件的响应性只根据响应文件本身的真实无误的内容，而不依据外部的证据。</w:t>
      </w:r>
    </w:p>
    <w:p>
      <w:pPr>
        <w:spacing w:line="360" w:lineRule="auto"/>
        <w:jc w:val="left"/>
        <w:rPr>
          <w:rFonts w:ascii="宋体" w:cs="Times New Roman"/>
          <w:b/>
          <w:bCs/>
        </w:rPr>
      </w:pPr>
      <w:r>
        <w:rPr>
          <w:rFonts w:ascii="宋体" w:hAnsi="宋体" w:cs="宋体"/>
          <w:b/>
          <w:bCs/>
        </w:rPr>
        <w:t>27.</w:t>
      </w:r>
      <w:r>
        <w:rPr>
          <w:rFonts w:hint="eastAsia" w:ascii="宋体" w:hAnsi="宋体" w:cs="宋体"/>
          <w:b/>
          <w:bCs/>
        </w:rPr>
        <w:t>澄清</w:t>
      </w:r>
    </w:p>
    <w:p>
      <w:pPr>
        <w:spacing w:line="360" w:lineRule="auto"/>
        <w:ind w:firstLine="420"/>
        <w:jc w:val="left"/>
        <w:rPr>
          <w:rFonts w:ascii="宋体" w:cs="Times New Roman"/>
        </w:rPr>
      </w:pPr>
      <w:r>
        <w:rPr>
          <w:rFonts w:ascii="宋体" w:hAnsi="宋体" w:cs="宋体"/>
        </w:rPr>
        <w:t xml:space="preserve">27.1 </w:t>
      </w:r>
      <w:r>
        <w:rPr>
          <w:rFonts w:hint="eastAsia" w:ascii="宋体" w:hAnsi="宋体" w:cs="宋体"/>
        </w:rPr>
        <w:t>谈判小组在对响应文件</w:t>
      </w:r>
      <w:r>
        <w:rPr>
          <w:rFonts w:ascii="宋体" w:hAnsi="宋体" w:cs="宋体"/>
        </w:rPr>
        <w:t>(</w:t>
      </w:r>
      <w:r>
        <w:rPr>
          <w:rFonts w:hint="eastAsia" w:ascii="宋体" w:hAnsi="宋体" w:cs="宋体"/>
        </w:rPr>
        <w:t>包括首次响应文件、重新提交的响应文件</w:t>
      </w:r>
      <w:r>
        <w:rPr>
          <w:rFonts w:ascii="宋体" w:hAnsi="宋体" w:cs="宋体"/>
        </w:rPr>
        <w:t>)</w:t>
      </w:r>
      <w:r>
        <w:rPr>
          <w:rFonts w:hint="eastAsia" w:ascii="宋体" w:hAnsi="宋体" w:cs="宋体"/>
        </w:rPr>
        <w:t>的有效性、完整性和对谈判文件的响应程度进行审查时，可以要求供应商对响应文件中含义不明确、同类问题表述不一致或者有明显文字和计算错误的内容等作出必要的澄清、说明或者更正。该要求应当以书面形式作出。供应商的澄清、说明或者更正应当采用书面形式，由其法定代表人或其委托代理人签字，供应商的澄清、说明或者更正不得超出谈判文件的范围或者改变响应文件的实质性内容。</w:t>
      </w:r>
    </w:p>
    <w:p>
      <w:pPr>
        <w:spacing w:line="360" w:lineRule="auto"/>
        <w:ind w:firstLine="420"/>
        <w:jc w:val="left"/>
        <w:rPr>
          <w:rFonts w:ascii="宋体" w:cs="Times New Roman"/>
        </w:rPr>
      </w:pPr>
      <w:r>
        <w:rPr>
          <w:rFonts w:ascii="宋体" w:hAnsi="宋体" w:cs="宋体"/>
        </w:rPr>
        <w:t xml:space="preserve">27.2 </w:t>
      </w:r>
      <w:r>
        <w:rPr>
          <w:rFonts w:hint="eastAsia" w:ascii="宋体" w:hAnsi="宋体" w:cs="宋体"/>
        </w:rPr>
        <w:t>最后报价计算错误修正的原则：最后报价的大写金额和小写金额不一致的，以大写金额为准；总价金额与按分项报价汇总金额不一致的，以分项报价金额计算结果为准；分项报价金额小数点有明显错位的，应以总价为准，并修改分项报价。</w:t>
      </w:r>
    </w:p>
    <w:p>
      <w:pPr>
        <w:spacing w:line="360" w:lineRule="auto"/>
        <w:jc w:val="left"/>
        <w:rPr>
          <w:rFonts w:ascii="宋体" w:cs="Times New Roman"/>
          <w:b/>
          <w:bCs/>
        </w:rPr>
      </w:pPr>
      <w:r>
        <w:rPr>
          <w:rFonts w:ascii="宋体" w:hAnsi="宋体" w:cs="宋体"/>
          <w:b/>
          <w:bCs/>
        </w:rPr>
        <w:t>28.</w:t>
      </w:r>
      <w:r>
        <w:rPr>
          <w:rFonts w:hint="eastAsia" w:ascii="宋体" w:hAnsi="宋体" w:cs="宋体"/>
          <w:b/>
          <w:bCs/>
        </w:rPr>
        <w:t>符合性审查</w:t>
      </w:r>
    </w:p>
    <w:p>
      <w:pPr>
        <w:spacing w:line="360" w:lineRule="auto"/>
        <w:ind w:firstLine="420"/>
        <w:jc w:val="left"/>
        <w:rPr>
          <w:rFonts w:ascii="宋体" w:cs="Times New Roman"/>
        </w:rPr>
      </w:pPr>
      <w:r>
        <w:rPr>
          <w:rFonts w:ascii="宋体" w:hAnsi="宋体" w:cs="宋体"/>
        </w:rPr>
        <w:t>28.1</w:t>
      </w:r>
      <w:r>
        <w:rPr>
          <w:rFonts w:hint="eastAsia" w:ascii="宋体" w:hAnsi="宋体" w:cs="宋体"/>
        </w:rPr>
        <w:t>对响应文件</w:t>
      </w:r>
      <w:r>
        <w:rPr>
          <w:rFonts w:ascii="宋体" w:hAnsi="宋体" w:cs="宋体"/>
        </w:rPr>
        <w:t>(</w:t>
      </w:r>
      <w:r>
        <w:rPr>
          <w:rFonts w:hint="eastAsia" w:ascii="宋体" w:hAnsi="宋体" w:cs="宋体"/>
        </w:rPr>
        <w:t>包括首次提交的响应文件、重新提交的响应文件</w:t>
      </w:r>
      <w:r>
        <w:rPr>
          <w:rFonts w:ascii="宋体" w:hAnsi="宋体" w:cs="宋体"/>
        </w:rPr>
        <w:t>)</w:t>
      </w:r>
      <w:r>
        <w:rPr>
          <w:rFonts w:hint="eastAsia" w:ascii="宋体" w:hAnsi="宋体" w:cs="宋体"/>
        </w:rPr>
        <w:t>的符合性审查。谈判小组应当对响应文件进行符合性审查，供应商响应文件有下列情况之一，其响应文件无效（供应商不参加谈判），谈判小组应当告知有关供应商：</w:t>
      </w:r>
    </w:p>
    <w:p>
      <w:pPr>
        <w:spacing w:line="360" w:lineRule="auto"/>
        <w:ind w:firstLine="420"/>
        <w:jc w:val="left"/>
        <w:rPr>
          <w:rFonts w:ascii="宋体" w:cs="Times New Roman"/>
        </w:rPr>
      </w:pPr>
      <w:r>
        <w:rPr>
          <w:rFonts w:hint="eastAsia" w:ascii="宋体" w:hAnsi="宋体" w:cs="宋体"/>
        </w:rPr>
        <w:t>（</w:t>
      </w:r>
      <w:r>
        <w:rPr>
          <w:rFonts w:ascii="宋体" w:hAnsi="宋体" w:cs="宋体"/>
        </w:rPr>
        <w:t>1</w:t>
      </w:r>
      <w:r>
        <w:rPr>
          <w:rFonts w:hint="eastAsia" w:ascii="宋体" w:hAnsi="宋体" w:cs="宋体"/>
        </w:rPr>
        <w:t>）不满足本章第</w:t>
      </w:r>
      <w:r>
        <w:rPr>
          <w:rFonts w:ascii="宋体" w:hAnsi="宋体" w:cs="宋体"/>
        </w:rPr>
        <w:t>26.1</w:t>
      </w:r>
      <w:r>
        <w:rPr>
          <w:rFonts w:hint="eastAsia" w:ascii="宋体" w:hAnsi="宋体" w:cs="宋体"/>
        </w:rPr>
        <w:t>款规定的实质性要求的；</w:t>
      </w:r>
    </w:p>
    <w:p>
      <w:pPr>
        <w:spacing w:line="360" w:lineRule="auto"/>
        <w:ind w:firstLine="420"/>
        <w:jc w:val="left"/>
        <w:rPr>
          <w:rFonts w:ascii="宋体" w:cs="Times New Roman"/>
        </w:rPr>
      </w:pPr>
      <w:r>
        <w:rPr>
          <w:rFonts w:hint="eastAsia" w:ascii="宋体" w:hAnsi="宋体" w:cs="宋体"/>
        </w:rPr>
        <w:t>（</w:t>
      </w:r>
      <w:r>
        <w:rPr>
          <w:rFonts w:ascii="宋体" w:hAnsi="宋体" w:cs="宋体"/>
        </w:rPr>
        <w:t>2</w:t>
      </w:r>
      <w:r>
        <w:rPr>
          <w:rFonts w:hint="eastAsia" w:ascii="宋体" w:hAnsi="宋体" w:cs="宋体"/>
        </w:rPr>
        <w:t>）不符合法律、规章、规范性文件和谈判文件规定的。</w:t>
      </w:r>
    </w:p>
    <w:p>
      <w:pPr>
        <w:spacing w:line="360" w:lineRule="auto"/>
        <w:ind w:firstLine="420"/>
        <w:jc w:val="left"/>
        <w:rPr>
          <w:rFonts w:ascii="宋体" w:cs="Times New Roman"/>
        </w:rPr>
      </w:pPr>
      <w:r>
        <w:rPr>
          <w:rFonts w:ascii="宋体" w:hAnsi="宋体" w:cs="宋体"/>
        </w:rPr>
        <w:t>28.2</w:t>
      </w:r>
      <w:r>
        <w:rPr>
          <w:rFonts w:hint="eastAsia" w:ascii="宋体" w:hAnsi="宋体" w:cs="宋体"/>
        </w:rPr>
        <w:t>符合性审查结束后，谈判小组所有成员集中与单一供应商分别进行谈判，并给予所有参加谈判的供应商平等的谈判机会。供应商应派其法定代表人或委托代理人参加谈判。</w:t>
      </w:r>
    </w:p>
    <w:p>
      <w:pPr>
        <w:spacing w:line="360" w:lineRule="auto"/>
        <w:jc w:val="left"/>
        <w:rPr>
          <w:rFonts w:ascii="宋体" w:cs="Times New Roman"/>
          <w:b/>
          <w:bCs/>
        </w:rPr>
      </w:pPr>
      <w:r>
        <w:rPr>
          <w:rFonts w:ascii="宋体" w:hAnsi="宋体" w:cs="宋体"/>
          <w:b/>
          <w:bCs/>
        </w:rPr>
        <w:t>29.</w:t>
      </w:r>
      <w:r>
        <w:rPr>
          <w:rFonts w:hint="eastAsia" w:ascii="宋体" w:hAnsi="宋体" w:cs="宋体"/>
          <w:b/>
          <w:bCs/>
        </w:rPr>
        <w:t>谈判</w:t>
      </w:r>
    </w:p>
    <w:p>
      <w:pPr>
        <w:spacing w:line="360" w:lineRule="auto"/>
        <w:ind w:firstLine="420"/>
        <w:jc w:val="left"/>
        <w:rPr>
          <w:rFonts w:ascii="宋体" w:cs="Times New Roman"/>
        </w:rPr>
      </w:pPr>
      <w:r>
        <w:rPr>
          <w:rFonts w:ascii="宋体" w:hAnsi="宋体" w:cs="宋体"/>
          <w:color w:val="000000"/>
        </w:rPr>
        <w:t>29.1</w:t>
      </w:r>
      <w:r>
        <w:rPr>
          <w:rFonts w:hint="eastAsia" w:ascii="宋体" w:hAnsi="宋体" w:cs="宋体"/>
          <w:color w:val="000000"/>
        </w:rPr>
        <w:t>对于本章第</w:t>
      </w:r>
      <w:r>
        <w:rPr>
          <w:rFonts w:ascii="宋体" w:hAnsi="宋体" w:cs="宋体"/>
        </w:rPr>
        <w:t>10.3</w:t>
      </w:r>
      <w:r>
        <w:rPr>
          <w:rFonts w:hint="eastAsia" w:ascii="宋体" w:hAnsi="宋体" w:cs="宋体"/>
          <w:color w:val="000000"/>
        </w:rPr>
        <w:t>项未明确谈判文件实质性变动内容，或者谈判文件明确了可能发生实质性变动内容，但在谈判过程中，谈判小组根据谈判情况认为谈判文件无需发生实质性变动的，</w:t>
      </w:r>
      <w:r>
        <w:rPr>
          <w:rFonts w:hint="eastAsia" w:ascii="宋体" w:hAnsi="宋体" w:cs="宋体"/>
        </w:rPr>
        <w:t>谈判小组应当根据本章第</w:t>
      </w:r>
      <w:r>
        <w:rPr>
          <w:rFonts w:ascii="宋体" w:hAnsi="宋体" w:cs="宋体"/>
        </w:rPr>
        <w:t>28.1</w:t>
      </w:r>
      <w:r>
        <w:rPr>
          <w:rFonts w:hint="eastAsia" w:ascii="宋体" w:hAnsi="宋体" w:cs="宋体"/>
        </w:rPr>
        <w:t>款规定对供应商提交的首次响应文件进行符合性审查，直接与实质性响应谈判文件要求的供应商就价格组织多轮谈判。</w:t>
      </w:r>
    </w:p>
    <w:p>
      <w:pPr>
        <w:tabs>
          <w:tab w:val="left" w:pos="1080"/>
          <w:tab w:val="left" w:pos="1260"/>
        </w:tabs>
        <w:spacing w:line="360" w:lineRule="auto"/>
        <w:ind w:firstLine="420"/>
        <w:jc w:val="left"/>
        <w:rPr>
          <w:rFonts w:ascii="宋体" w:cs="Times New Roman"/>
        </w:rPr>
      </w:pPr>
      <w:r>
        <w:rPr>
          <w:rFonts w:hint="eastAsia" w:ascii="宋体" w:hAnsi="宋体" w:cs="宋体"/>
        </w:rPr>
        <w:t>（</w:t>
      </w:r>
      <w:r>
        <w:rPr>
          <w:rFonts w:ascii="宋体" w:hAnsi="宋体" w:cs="宋体"/>
        </w:rPr>
        <w:t>1</w:t>
      </w:r>
      <w:r>
        <w:rPr>
          <w:rFonts w:hint="eastAsia" w:ascii="宋体" w:hAnsi="宋体" w:cs="宋体"/>
        </w:rPr>
        <w:t>）谈判结束后，谈判小组应当要求所有继续参加谈判的供应商在谈判小组规定时间内提交最后报价。</w:t>
      </w:r>
    </w:p>
    <w:p>
      <w:pPr>
        <w:tabs>
          <w:tab w:val="left" w:pos="1080"/>
          <w:tab w:val="left" w:pos="1260"/>
        </w:tabs>
        <w:spacing w:line="360" w:lineRule="auto"/>
        <w:ind w:firstLine="420"/>
        <w:jc w:val="left"/>
        <w:rPr>
          <w:rFonts w:ascii="宋体" w:cs="Times New Roman"/>
        </w:rPr>
      </w:pPr>
      <w:r>
        <w:rPr>
          <w:rFonts w:hint="eastAsia" w:ascii="宋体" w:hAnsi="宋体" w:cs="宋体"/>
        </w:rPr>
        <w:t>（</w:t>
      </w:r>
      <w:r>
        <w:rPr>
          <w:rFonts w:ascii="宋体" w:hAnsi="宋体" w:cs="宋体"/>
        </w:rPr>
        <w:t>2</w:t>
      </w:r>
      <w:r>
        <w:rPr>
          <w:rFonts w:hint="eastAsia" w:ascii="宋体" w:hAnsi="宋体" w:cs="宋体"/>
        </w:rPr>
        <w:t>）谈判文件明确可能发生实质性变动，但在谈判过程中谈判小组根据谈判情况认为谈判文件无需发生实质性变动的，谈判小组不另行通知。</w:t>
      </w:r>
    </w:p>
    <w:p>
      <w:pPr>
        <w:spacing w:line="360" w:lineRule="auto"/>
        <w:ind w:firstLine="420"/>
        <w:jc w:val="left"/>
        <w:rPr>
          <w:rFonts w:ascii="宋体" w:cs="Times New Roman"/>
        </w:rPr>
      </w:pPr>
      <w:r>
        <w:rPr>
          <w:rFonts w:ascii="宋体" w:hAnsi="宋体" w:cs="宋体"/>
          <w:color w:val="000000"/>
        </w:rPr>
        <w:t>29.2</w:t>
      </w:r>
      <w:r>
        <w:rPr>
          <w:rFonts w:hint="eastAsia" w:ascii="宋体" w:hAnsi="宋体" w:cs="宋体"/>
          <w:color w:val="000000"/>
        </w:rPr>
        <w:t>对于本章第</w:t>
      </w:r>
      <w:r>
        <w:rPr>
          <w:rFonts w:ascii="宋体" w:hAnsi="宋体" w:cs="宋体"/>
          <w:color w:val="000000"/>
        </w:rPr>
        <w:t>10.3</w:t>
      </w:r>
      <w:r>
        <w:rPr>
          <w:rFonts w:hint="eastAsia" w:ascii="宋体" w:hAnsi="宋体" w:cs="宋体"/>
          <w:color w:val="000000"/>
        </w:rPr>
        <w:t>款明确谈判文件实质性变动内容，且在谈判过程中谈判文件实质性内容发生变动的，谈</w:t>
      </w:r>
      <w:r>
        <w:rPr>
          <w:rFonts w:hint="eastAsia" w:ascii="宋体" w:hAnsi="宋体" w:cs="宋体"/>
        </w:rPr>
        <w:t>判小组可以组织多轮谈判。在每一轮谈判中，谈判小组可以根据谈判文件规定和谈判情况，对谈判文件的采购需求中的技术、服务要求以及合同草案条款作实质性变动</w:t>
      </w:r>
      <w:r>
        <w:rPr>
          <w:rFonts w:ascii="宋体" w:hAnsi="宋体" w:cs="宋体"/>
        </w:rPr>
        <w:t>(</w:t>
      </w:r>
      <w:r>
        <w:rPr>
          <w:rFonts w:hint="eastAsia" w:ascii="宋体" w:hAnsi="宋体" w:cs="宋体"/>
        </w:rPr>
        <w:t>谈判文件的实质性变动内容为谈判文件的组成部分</w:t>
      </w:r>
      <w:r>
        <w:rPr>
          <w:rFonts w:ascii="宋体" w:hAnsi="宋体" w:cs="宋体"/>
        </w:rPr>
        <w:t>)</w:t>
      </w:r>
      <w:r>
        <w:rPr>
          <w:rFonts w:hint="eastAsia" w:ascii="宋体" w:hAnsi="宋体" w:cs="宋体"/>
        </w:rPr>
        <w:t>，并以书面形式要求符合性审查合格的供应商，在规定的截止时间前重新提交响应文件。谈判小组应当根据本章第</w:t>
      </w:r>
      <w:r>
        <w:rPr>
          <w:rFonts w:ascii="宋体" w:hAnsi="宋体" w:cs="宋体"/>
        </w:rPr>
        <w:t>28.1</w:t>
      </w:r>
      <w:r>
        <w:rPr>
          <w:rFonts w:hint="eastAsia" w:ascii="宋体" w:hAnsi="宋体" w:cs="宋体"/>
        </w:rPr>
        <w:t>款规定对供应商重新提交的响应文件进行符合性审查。供应商重新提交的响应文件未通过符合性审查的，不得进入下一轮谈判，也不得要求提交最后报价。</w:t>
      </w:r>
    </w:p>
    <w:p>
      <w:pPr>
        <w:spacing w:line="360" w:lineRule="auto"/>
        <w:ind w:firstLine="420"/>
        <w:rPr>
          <w:rFonts w:ascii="宋体" w:cs="Times New Roman"/>
        </w:rPr>
      </w:pPr>
      <w:r>
        <w:rPr>
          <w:rFonts w:hint="eastAsia" w:ascii="宋体" w:hAnsi="宋体" w:cs="宋体"/>
        </w:rPr>
        <w:t>（</w:t>
      </w:r>
      <w:r>
        <w:rPr>
          <w:rFonts w:ascii="宋体" w:hAnsi="宋体" w:cs="宋体"/>
        </w:rPr>
        <w:t>1</w:t>
      </w:r>
      <w:r>
        <w:rPr>
          <w:rFonts w:hint="eastAsia" w:ascii="宋体" w:hAnsi="宋体" w:cs="宋体"/>
        </w:rPr>
        <w:t>）谈判文件能够详细列明采购需求的技术、服务要求的，谈判结束后，谈判小组应当要求所有继续参加谈判的供应商在规定时间内提交最后报价。</w:t>
      </w:r>
    </w:p>
    <w:p>
      <w:pPr>
        <w:spacing w:line="360" w:lineRule="auto"/>
        <w:ind w:firstLine="420"/>
        <w:jc w:val="left"/>
        <w:rPr>
          <w:rFonts w:ascii="宋体" w:cs="Times New Roman"/>
        </w:rPr>
      </w:pPr>
      <w:r>
        <w:rPr>
          <w:rFonts w:hint="eastAsia" w:ascii="宋体" w:hAnsi="宋体" w:cs="宋体"/>
        </w:rPr>
        <w:t>（</w:t>
      </w:r>
      <w:r>
        <w:rPr>
          <w:rFonts w:ascii="宋体" w:hAnsi="宋体" w:cs="宋体"/>
        </w:rPr>
        <w:t>2</w:t>
      </w:r>
      <w:r>
        <w:rPr>
          <w:rFonts w:hint="eastAsia" w:ascii="宋体" w:hAnsi="宋体" w:cs="宋体"/>
        </w:rPr>
        <w:t>）谈判文件不能详细列明采购需求的技术、服务要求，需经谈判由供应商提供最终设计方案或解决方案的，谈判结束后，谈判小组应当按照少数服从多数的原则投票推荐</w:t>
      </w:r>
      <w:r>
        <w:rPr>
          <w:rFonts w:ascii="宋体" w:hAnsi="宋体" w:cs="宋体"/>
        </w:rPr>
        <w:t>3</w:t>
      </w:r>
      <w:r>
        <w:rPr>
          <w:rFonts w:hint="eastAsia" w:ascii="宋体" w:hAnsi="宋体" w:cs="宋体"/>
        </w:rPr>
        <w:t>家以上供应商的设计方案或者解决方案，并要求其在规定时间内提交最后报价。</w:t>
      </w:r>
    </w:p>
    <w:p>
      <w:pPr>
        <w:spacing w:line="360" w:lineRule="auto"/>
        <w:ind w:firstLine="420"/>
        <w:jc w:val="left"/>
        <w:rPr>
          <w:rFonts w:ascii="宋体" w:cs="Times New Roman"/>
        </w:rPr>
      </w:pPr>
      <w:r>
        <w:rPr>
          <w:rFonts w:ascii="宋体" w:hAnsi="宋体" w:cs="宋体"/>
        </w:rPr>
        <w:t xml:space="preserve">29.3 </w:t>
      </w:r>
      <w:r>
        <w:rPr>
          <w:rFonts w:hint="eastAsia" w:ascii="宋体" w:hAnsi="宋体" w:cs="宋体"/>
        </w:rPr>
        <w:t>重新提交的响应文件或者最后报价应按本章第</w:t>
      </w:r>
      <w:r>
        <w:rPr>
          <w:rFonts w:ascii="宋体" w:hAnsi="宋体" w:cs="宋体"/>
        </w:rPr>
        <w:t>19.3</w:t>
      </w:r>
      <w:r>
        <w:rPr>
          <w:rFonts w:hint="eastAsia" w:ascii="宋体" w:hAnsi="宋体" w:cs="宋体"/>
        </w:rPr>
        <w:t>款规定，由其法定代表人或其委托代理人签字或者加盖供应商单位章，在规定时间内密封递交给谈判小组。</w:t>
      </w:r>
    </w:p>
    <w:p>
      <w:pPr>
        <w:spacing w:line="360" w:lineRule="auto"/>
        <w:ind w:firstLine="420"/>
        <w:jc w:val="left"/>
        <w:rPr>
          <w:rFonts w:ascii="宋体" w:cs="Times New Roman"/>
        </w:rPr>
      </w:pPr>
      <w:r>
        <w:rPr>
          <w:rFonts w:ascii="宋体" w:hAnsi="宋体" w:cs="宋体"/>
        </w:rPr>
        <w:t>29.4</w:t>
      </w:r>
      <w:r>
        <w:rPr>
          <w:rFonts w:hint="eastAsia" w:ascii="宋体" w:hAnsi="宋体" w:cs="宋体"/>
        </w:rPr>
        <w:t>供应商的最后报价及政府采购政策规定的价格扣除情况，谈判小组应召集所有参加最后报价的供应商当场开封公布，并由供应商代表签字确认。</w:t>
      </w:r>
    </w:p>
    <w:p>
      <w:pPr>
        <w:spacing w:line="360" w:lineRule="auto"/>
        <w:ind w:firstLine="420"/>
        <w:jc w:val="left"/>
        <w:rPr>
          <w:rFonts w:ascii="宋体" w:cs="Times New Roman"/>
        </w:rPr>
      </w:pPr>
      <w:r>
        <w:rPr>
          <w:rFonts w:ascii="宋体" w:hAnsi="宋体" w:cs="宋体"/>
        </w:rPr>
        <w:t>29.5</w:t>
      </w:r>
      <w:r>
        <w:rPr>
          <w:rFonts w:hint="eastAsia" w:ascii="宋体" w:hAnsi="宋体" w:cs="宋体"/>
        </w:rPr>
        <w:t>提交首次响应文件的供应商，在提交最后报价之前，可以根据谈判情况退出谈判，并书面通知采购代理机构或者谈判小组。该通知由供应商法定代表人或其委托代理人签字。采购代理机构按本章第</w:t>
      </w:r>
      <w:r>
        <w:rPr>
          <w:rFonts w:ascii="宋体" w:hAnsi="宋体" w:cs="宋体"/>
        </w:rPr>
        <w:t>17.4</w:t>
      </w:r>
      <w:r>
        <w:rPr>
          <w:rFonts w:hint="eastAsia" w:ascii="宋体" w:hAnsi="宋体" w:cs="宋体"/>
        </w:rPr>
        <w:t>款规定退还退出谈判的供应商的保证金。</w:t>
      </w:r>
    </w:p>
    <w:p>
      <w:pPr>
        <w:spacing w:line="360" w:lineRule="auto"/>
        <w:ind w:firstLine="420"/>
        <w:rPr>
          <w:rFonts w:ascii="宋体" w:cs="Times New Roman"/>
        </w:rPr>
      </w:pPr>
      <w:r>
        <w:rPr>
          <w:rFonts w:ascii="宋体" w:hAnsi="宋体" w:cs="宋体"/>
        </w:rPr>
        <w:t>29.6</w:t>
      </w:r>
      <w:r>
        <w:rPr>
          <w:rFonts w:hint="eastAsia" w:ascii="宋体" w:hAnsi="宋体" w:cs="宋体"/>
        </w:rPr>
        <w:t>提交首次响应文件的供应商，未按谈判文件规定及谈判小组要求提交最后报价</w:t>
      </w:r>
      <w:r>
        <w:rPr>
          <w:rFonts w:ascii="宋体" w:hAnsi="宋体" w:cs="宋体"/>
        </w:rPr>
        <w:t>(</w:t>
      </w:r>
      <w:r>
        <w:rPr>
          <w:rFonts w:hint="eastAsia" w:ascii="宋体" w:hAnsi="宋体" w:cs="宋体"/>
        </w:rPr>
        <w:t>或者重新提交的响应文件和最后报价</w:t>
      </w:r>
      <w:r>
        <w:rPr>
          <w:rFonts w:ascii="宋体" w:hAnsi="宋体" w:cs="宋体"/>
        </w:rPr>
        <w:t>)</w:t>
      </w:r>
      <w:r>
        <w:rPr>
          <w:rFonts w:hint="eastAsia" w:ascii="宋体" w:hAnsi="宋体" w:cs="宋体"/>
        </w:rPr>
        <w:t>，且又未按本章第</w:t>
      </w:r>
      <w:r>
        <w:rPr>
          <w:rFonts w:ascii="宋体" w:hAnsi="宋体" w:cs="宋体"/>
        </w:rPr>
        <w:t>29.5</w:t>
      </w:r>
      <w:r>
        <w:rPr>
          <w:rFonts w:hint="eastAsia" w:ascii="宋体" w:hAnsi="宋体" w:cs="宋体"/>
        </w:rPr>
        <w:t>款规定退出谈判的，供应商的保证金不予退还。</w:t>
      </w:r>
    </w:p>
    <w:p>
      <w:pPr>
        <w:spacing w:line="360" w:lineRule="auto"/>
        <w:jc w:val="left"/>
        <w:rPr>
          <w:rFonts w:ascii="宋体" w:cs="Times New Roman"/>
          <w:b/>
          <w:bCs/>
        </w:rPr>
      </w:pPr>
      <w:r>
        <w:rPr>
          <w:rFonts w:ascii="宋体" w:hAnsi="宋体" w:cs="宋体"/>
        </w:rPr>
        <w:t>30</w:t>
      </w:r>
      <w:r>
        <w:rPr>
          <w:rFonts w:ascii="宋体" w:cs="宋体"/>
          <w:b/>
          <w:bCs/>
        </w:rPr>
        <w:t>.</w:t>
      </w:r>
      <w:r>
        <w:rPr>
          <w:rFonts w:hint="eastAsia" w:ascii="宋体" w:hAnsi="宋体" w:cs="宋体"/>
          <w:b/>
          <w:bCs/>
        </w:rPr>
        <w:t>提出成交供应商</w:t>
      </w:r>
    </w:p>
    <w:p>
      <w:pPr>
        <w:spacing w:line="360" w:lineRule="auto"/>
        <w:ind w:firstLine="420"/>
        <w:jc w:val="left"/>
        <w:rPr>
          <w:rFonts w:ascii="宋体" w:cs="Times New Roman"/>
        </w:rPr>
      </w:pPr>
      <w:r>
        <w:rPr>
          <w:rFonts w:ascii="宋体" w:hAnsi="宋体" w:cs="宋体"/>
        </w:rPr>
        <w:t>30.1</w:t>
      </w:r>
      <w:r>
        <w:rPr>
          <w:rFonts w:hint="eastAsia" w:ascii="宋体" w:hAnsi="宋体" w:cs="宋体"/>
        </w:rPr>
        <w:t>谈判小组应当从质量和服务均能满足采购文件实质性响应要求的供应商中，按照最后报价由低到高的顺序提出</w:t>
      </w:r>
      <w:r>
        <w:rPr>
          <w:rFonts w:ascii="宋体" w:hAnsi="宋体" w:cs="宋体"/>
        </w:rPr>
        <w:t>3</w:t>
      </w:r>
      <w:r>
        <w:rPr>
          <w:rFonts w:hint="eastAsia" w:ascii="宋体" w:hAnsi="宋体" w:cs="宋体"/>
        </w:rPr>
        <w:t>名以上成交候选人，并编写评审报告。供应商符合本章第</w:t>
      </w:r>
      <w:r>
        <w:rPr>
          <w:rFonts w:ascii="宋体" w:hAnsi="宋体" w:cs="宋体"/>
        </w:rPr>
        <w:t>9.1</w:t>
      </w:r>
      <w:r>
        <w:rPr>
          <w:rFonts w:hint="eastAsia" w:ascii="宋体" w:hAnsi="宋体" w:cs="宋体"/>
        </w:rPr>
        <w:t>款、第</w:t>
      </w:r>
      <w:r>
        <w:rPr>
          <w:rFonts w:ascii="宋体" w:hAnsi="宋体" w:cs="宋体"/>
        </w:rPr>
        <w:t>9.2</w:t>
      </w:r>
      <w:r>
        <w:rPr>
          <w:rFonts w:hint="eastAsia" w:ascii="宋体" w:hAnsi="宋体" w:cs="宋体"/>
        </w:rPr>
        <w:t>款关于政府采购政策规定的，最后报价按本章第</w:t>
      </w:r>
      <w:r>
        <w:rPr>
          <w:rFonts w:ascii="宋体" w:hAnsi="宋体" w:cs="宋体"/>
        </w:rPr>
        <w:t>9.1</w:t>
      </w:r>
      <w:r>
        <w:rPr>
          <w:rFonts w:hint="eastAsia" w:ascii="宋体" w:hAnsi="宋体" w:cs="宋体"/>
        </w:rPr>
        <w:t>款、第</w:t>
      </w:r>
      <w:r>
        <w:rPr>
          <w:rFonts w:ascii="宋体" w:hAnsi="宋体" w:cs="宋体"/>
        </w:rPr>
        <w:t>9.2</w:t>
      </w:r>
      <w:r>
        <w:rPr>
          <w:rFonts w:hint="eastAsia" w:ascii="宋体" w:hAnsi="宋体" w:cs="宋体"/>
        </w:rPr>
        <w:t>款规定进行价格扣除，并按价格扣除后的最后报价排序。</w:t>
      </w:r>
    </w:p>
    <w:p>
      <w:pPr>
        <w:spacing w:line="360" w:lineRule="auto"/>
        <w:ind w:firstLine="420"/>
        <w:jc w:val="left"/>
        <w:rPr>
          <w:rFonts w:ascii="Times New Roman" w:hAnsi="Times New Roman" w:cs="Times New Roman"/>
        </w:rPr>
      </w:pPr>
      <w:r>
        <w:rPr>
          <w:rFonts w:ascii="宋体" w:hAnsi="宋体" w:cs="宋体"/>
        </w:rPr>
        <w:t>30.2</w:t>
      </w:r>
      <w:r>
        <w:rPr>
          <w:rFonts w:hint="eastAsia" w:ascii="宋体" w:hAnsi="宋体" w:cs="宋体"/>
        </w:rPr>
        <w:t>按本章第</w:t>
      </w:r>
      <w:r>
        <w:rPr>
          <w:rFonts w:ascii="宋体" w:hAnsi="宋体" w:cs="宋体"/>
        </w:rPr>
        <w:t>30.1</w:t>
      </w:r>
      <w:r>
        <w:rPr>
          <w:rFonts w:hint="eastAsia" w:ascii="宋体" w:hAnsi="宋体" w:cs="宋体"/>
        </w:rPr>
        <w:t>条按价格扣除后的最后报价排序相同的，由采购人确定成交供应商。</w:t>
      </w:r>
    </w:p>
    <w:p>
      <w:pPr>
        <w:tabs>
          <w:tab w:val="left" w:pos="0"/>
        </w:tabs>
        <w:spacing w:line="360" w:lineRule="auto"/>
        <w:rPr>
          <w:rFonts w:ascii="宋体" w:cs="Times New Roman"/>
          <w:b/>
          <w:bCs/>
        </w:rPr>
      </w:pPr>
      <w:r>
        <w:rPr>
          <w:rFonts w:ascii="宋体" w:hAnsi="宋体" w:cs="宋体"/>
          <w:b/>
          <w:bCs/>
        </w:rPr>
        <w:t>31.</w:t>
      </w:r>
      <w:r>
        <w:rPr>
          <w:rFonts w:hint="eastAsia" w:ascii="宋体" w:hAnsi="宋体" w:cs="宋体"/>
          <w:b/>
          <w:bCs/>
        </w:rPr>
        <w:t>确定成交供应商</w:t>
      </w:r>
    </w:p>
    <w:p>
      <w:pPr>
        <w:spacing w:line="360" w:lineRule="auto"/>
        <w:ind w:firstLine="420"/>
        <w:jc w:val="left"/>
        <w:rPr>
          <w:rFonts w:ascii="宋体" w:cs="Times New Roman"/>
        </w:rPr>
      </w:pPr>
      <w:r>
        <w:rPr>
          <w:rFonts w:ascii="宋体" w:hAnsi="宋体" w:cs="宋体"/>
        </w:rPr>
        <w:t>31.1</w:t>
      </w:r>
      <w:r>
        <w:rPr>
          <w:rFonts w:hint="eastAsia" w:ascii="宋体" w:hAnsi="宋体" w:cs="宋体"/>
        </w:rPr>
        <w:t>采购代理机构应当在评审结束后</w:t>
      </w:r>
      <w:r>
        <w:rPr>
          <w:rFonts w:ascii="宋体" w:hAnsi="宋体" w:cs="宋体"/>
        </w:rPr>
        <w:t>2</w:t>
      </w:r>
      <w:r>
        <w:rPr>
          <w:rFonts w:hint="eastAsia" w:ascii="宋体" w:hAnsi="宋体" w:cs="宋体"/>
        </w:rPr>
        <w:t>个工作日内将评审报告送采购人确认。</w:t>
      </w:r>
    </w:p>
    <w:p>
      <w:pPr>
        <w:spacing w:line="360" w:lineRule="auto"/>
        <w:ind w:firstLine="420"/>
        <w:jc w:val="left"/>
        <w:rPr>
          <w:rFonts w:ascii="宋体" w:cs="Times New Roman"/>
        </w:rPr>
      </w:pPr>
      <w:r>
        <w:rPr>
          <w:rFonts w:ascii="宋体" w:hAnsi="宋体" w:cs="宋体"/>
        </w:rPr>
        <w:t>31.2</w:t>
      </w:r>
      <w:r>
        <w:rPr>
          <w:rFonts w:hint="eastAsia" w:ascii="宋体" w:hAnsi="宋体" w:cs="宋体"/>
        </w:rPr>
        <w:t>采购人应当在收到评审报告后</w:t>
      </w:r>
      <w:r>
        <w:rPr>
          <w:rFonts w:ascii="宋体" w:hAnsi="宋体" w:cs="宋体"/>
        </w:rPr>
        <w:t>5</w:t>
      </w:r>
      <w:r>
        <w:rPr>
          <w:rFonts w:hint="eastAsia" w:ascii="宋体" w:hAnsi="宋体" w:cs="宋体"/>
        </w:rPr>
        <w:t>个工作日内，从评审报告提出的成交候选人中，根据质量和服务均能满足采购文件实质性响应要求且最后报价最低的原则确定成交供应商，也可以书面授权谈判小组直接确定成交供应商。</w:t>
      </w:r>
    </w:p>
    <w:p>
      <w:pPr>
        <w:spacing w:line="360" w:lineRule="auto"/>
        <w:ind w:firstLine="420"/>
        <w:jc w:val="left"/>
        <w:rPr>
          <w:rFonts w:ascii="宋体" w:cs="Times New Roman"/>
        </w:rPr>
      </w:pPr>
      <w:r>
        <w:rPr>
          <w:rFonts w:ascii="宋体" w:hAnsi="宋体" w:cs="宋体"/>
        </w:rPr>
        <w:t>30.3</w:t>
      </w:r>
      <w:r>
        <w:rPr>
          <w:rFonts w:hint="eastAsia" w:ascii="宋体" w:hAnsi="宋体" w:cs="宋体"/>
        </w:rPr>
        <w:t>最后报价确定遵守本章第</w:t>
      </w:r>
      <w:r>
        <w:rPr>
          <w:rFonts w:ascii="宋体" w:hAnsi="宋体" w:cs="宋体"/>
        </w:rPr>
        <w:t>30</w:t>
      </w:r>
      <w:r>
        <w:rPr>
          <w:rFonts w:hint="eastAsia" w:ascii="宋体" w:hAnsi="宋体" w:cs="宋体"/>
        </w:rPr>
        <w:t>条的规定。</w:t>
      </w:r>
    </w:p>
    <w:p>
      <w:pPr>
        <w:spacing w:line="360" w:lineRule="auto"/>
        <w:ind w:left="632" w:hanging="632"/>
        <w:rPr>
          <w:rFonts w:ascii="宋体" w:cs="Times New Roman"/>
          <w:b/>
          <w:bCs/>
        </w:rPr>
      </w:pPr>
      <w:r>
        <w:rPr>
          <w:rFonts w:ascii="宋体" w:hAnsi="宋体" w:cs="宋体"/>
          <w:b/>
          <w:bCs/>
        </w:rPr>
        <w:t>32.</w:t>
      </w:r>
      <w:r>
        <w:rPr>
          <w:rFonts w:hint="eastAsia" w:ascii="宋体" w:hAnsi="宋体" w:cs="宋体"/>
          <w:b/>
          <w:bCs/>
        </w:rPr>
        <w:t>谈判的特殊情形</w:t>
      </w:r>
    </w:p>
    <w:p>
      <w:pPr>
        <w:spacing w:line="360" w:lineRule="auto"/>
        <w:ind w:firstLine="420"/>
        <w:rPr>
          <w:rFonts w:ascii="宋体" w:cs="Times New Roman"/>
        </w:rPr>
      </w:pPr>
      <w:r>
        <w:rPr>
          <w:rFonts w:ascii="宋体" w:hAnsi="宋体" w:cs="宋体"/>
        </w:rPr>
        <w:t>32.1</w:t>
      </w:r>
      <w:r>
        <w:rPr>
          <w:rFonts w:hint="eastAsia" w:ascii="宋体" w:hAnsi="宋体" w:cs="宋体"/>
        </w:rPr>
        <w:t>公开招标的货物、服务采购项目，招标过程中提交投标文件或者经评审实质性响应招标文件要求的供应商只有两家时，采购人、采购代理机构按照</w:t>
      </w:r>
      <w:r>
        <w:rPr>
          <w:rFonts w:hint="eastAsia" w:ascii="宋体" w:hAnsi="宋体" w:cs="宋体"/>
          <w:color w:val="000000"/>
        </w:rPr>
        <w:t>省级以上财政部门相关规定，经本级</w:t>
      </w:r>
      <w:r>
        <w:rPr>
          <w:rFonts w:hint="eastAsia" w:ascii="宋体" w:hAnsi="宋体" w:cs="宋体"/>
        </w:rPr>
        <w:t>财政部门批准后可以与该两家供应商进行竞争性谈判采购。符合本款情形的，本章第</w:t>
      </w:r>
      <w:r>
        <w:rPr>
          <w:rFonts w:ascii="宋体" w:hAnsi="宋体" w:cs="宋体"/>
        </w:rPr>
        <w:t>29.1</w:t>
      </w:r>
      <w:r>
        <w:rPr>
          <w:rFonts w:hint="eastAsia" w:ascii="宋体" w:hAnsi="宋体" w:cs="宋体"/>
        </w:rPr>
        <w:t>款、第</w:t>
      </w:r>
      <w:r>
        <w:rPr>
          <w:rFonts w:ascii="宋体" w:hAnsi="宋体" w:cs="宋体"/>
        </w:rPr>
        <w:t>29.2</w:t>
      </w:r>
      <w:r>
        <w:rPr>
          <w:rFonts w:hint="eastAsia" w:ascii="宋体" w:hAnsi="宋体" w:cs="宋体"/>
        </w:rPr>
        <w:t>款、第</w:t>
      </w:r>
      <w:r>
        <w:rPr>
          <w:rFonts w:ascii="宋体" w:hAnsi="宋体" w:cs="宋体"/>
        </w:rPr>
        <w:t>30.1</w:t>
      </w:r>
      <w:r>
        <w:rPr>
          <w:rFonts w:hint="eastAsia" w:ascii="宋体" w:hAnsi="宋体" w:cs="宋体"/>
        </w:rPr>
        <w:t>款、第</w:t>
      </w:r>
      <w:r>
        <w:rPr>
          <w:rFonts w:ascii="宋体" w:hAnsi="宋体" w:cs="宋体"/>
        </w:rPr>
        <w:t>33.1</w:t>
      </w:r>
      <w:r>
        <w:rPr>
          <w:rFonts w:hint="eastAsia" w:ascii="宋体" w:hAnsi="宋体" w:cs="宋体"/>
        </w:rPr>
        <w:t>款中规定的供应商最低数量可以为两家。</w:t>
      </w:r>
    </w:p>
    <w:p>
      <w:pPr>
        <w:spacing w:line="360" w:lineRule="auto"/>
        <w:ind w:left="632" w:hanging="632"/>
        <w:rPr>
          <w:rFonts w:ascii="宋体" w:cs="Times New Roman"/>
          <w:b/>
          <w:bCs/>
        </w:rPr>
      </w:pPr>
      <w:r>
        <w:rPr>
          <w:rFonts w:ascii="宋体" w:hAnsi="宋体" w:cs="宋体"/>
          <w:b/>
          <w:bCs/>
        </w:rPr>
        <w:t>33.</w:t>
      </w:r>
      <w:r>
        <w:rPr>
          <w:rFonts w:hint="eastAsia" w:ascii="宋体" w:hAnsi="宋体" w:cs="宋体"/>
          <w:b/>
          <w:bCs/>
        </w:rPr>
        <w:t>谈判终止</w:t>
      </w:r>
    </w:p>
    <w:p>
      <w:pPr>
        <w:spacing w:line="360" w:lineRule="auto"/>
        <w:ind w:firstLine="420"/>
        <w:jc w:val="left"/>
        <w:rPr>
          <w:rFonts w:ascii="宋体" w:cs="Times New Roman"/>
        </w:rPr>
      </w:pPr>
      <w:r>
        <w:rPr>
          <w:rFonts w:ascii="宋体" w:hAnsi="宋体" w:cs="宋体"/>
        </w:rPr>
        <w:t>33.1</w:t>
      </w:r>
      <w:r>
        <w:rPr>
          <w:rFonts w:hint="eastAsia" w:ascii="宋体" w:hAnsi="宋体" w:cs="宋体"/>
        </w:rPr>
        <w:t>出现下列情形之一的，采购人或者采购代理机构应当终止竞争性谈判采购活动，在省级以上财政部门指定的媒体上发布项目终止公告并说明原因，重新开展采购活动：</w:t>
      </w:r>
    </w:p>
    <w:p>
      <w:pPr>
        <w:spacing w:line="360" w:lineRule="auto"/>
        <w:ind w:firstLine="420"/>
        <w:jc w:val="left"/>
        <w:rPr>
          <w:rFonts w:ascii="宋体" w:cs="Times New Roman"/>
        </w:rPr>
      </w:pPr>
      <w:r>
        <w:rPr>
          <w:rFonts w:hint="eastAsia" w:ascii="宋体" w:hAnsi="宋体" w:cs="宋体"/>
        </w:rPr>
        <w:t>（</w:t>
      </w:r>
      <w:r>
        <w:rPr>
          <w:rFonts w:ascii="宋体" w:hAnsi="宋体" w:cs="宋体"/>
        </w:rPr>
        <w:t>1</w:t>
      </w:r>
      <w:r>
        <w:rPr>
          <w:rFonts w:hint="eastAsia" w:ascii="宋体" w:hAnsi="宋体" w:cs="宋体"/>
        </w:rPr>
        <w:t>）因情况变化，不再符合规定的竞争性谈判采购方式适用情形的；</w:t>
      </w:r>
    </w:p>
    <w:p>
      <w:pPr>
        <w:spacing w:line="360" w:lineRule="auto"/>
        <w:ind w:firstLine="420"/>
        <w:jc w:val="left"/>
        <w:rPr>
          <w:rFonts w:ascii="宋体" w:cs="Times New Roman"/>
        </w:rPr>
      </w:pPr>
      <w:r>
        <w:rPr>
          <w:rFonts w:hint="eastAsia" w:ascii="宋体" w:hAnsi="宋体" w:cs="宋体"/>
        </w:rPr>
        <w:t>（</w:t>
      </w:r>
      <w:r>
        <w:rPr>
          <w:rFonts w:ascii="宋体" w:hAnsi="宋体" w:cs="宋体"/>
        </w:rPr>
        <w:t>2</w:t>
      </w:r>
      <w:r>
        <w:rPr>
          <w:rFonts w:hint="eastAsia" w:ascii="宋体" w:hAnsi="宋体" w:cs="宋体"/>
        </w:rPr>
        <w:t>）出现影响采购公正的违法、违规行为的；</w:t>
      </w:r>
    </w:p>
    <w:p>
      <w:pPr>
        <w:spacing w:line="360" w:lineRule="auto"/>
        <w:ind w:firstLine="420"/>
        <w:jc w:val="left"/>
        <w:rPr>
          <w:rFonts w:ascii="宋体" w:cs="Times New Roman"/>
        </w:rPr>
      </w:pPr>
      <w:r>
        <w:rPr>
          <w:rFonts w:hint="eastAsia" w:ascii="宋体" w:hAnsi="宋体" w:cs="宋体"/>
        </w:rPr>
        <w:t>（</w:t>
      </w:r>
      <w:r>
        <w:rPr>
          <w:rFonts w:ascii="宋体" w:hAnsi="宋体" w:cs="宋体"/>
        </w:rPr>
        <w:t>3</w:t>
      </w:r>
      <w:r>
        <w:rPr>
          <w:rFonts w:hint="eastAsia" w:ascii="宋体" w:hAnsi="宋体" w:cs="宋体"/>
        </w:rPr>
        <w:t>）在采购过程中符合竞争要求的供应商或者报价未超过采购预算的供应商不足</w:t>
      </w:r>
      <w:r>
        <w:rPr>
          <w:rFonts w:ascii="宋体" w:hAnsi="宋体" w:cs="宋体"/>
        </w:rPr>
        <w:t>3</w:t>
      </w:r>
      <w:r>
        <w:rPr>
          <w:rFonts w:hint="eastAsia" w:ascii="宋体" w:hAnsi="宋体" w:cs="宋体"/>
        </w:rPr>
        <w:t>家的，或者提交最后报价的供应商少于</w:t>
      </w:r>
      <w:r>
        <w:rPr>
          <w:rFonts w:ascii="宋体" w:hAnsi="宋体" w:cs="宋体"/>
        </w:rPr>
        <w:t>3</w:t>
      </w:r>
      <w:r>
        <w:rPr>
          <w:rFonts w:hint="eastAsia" w:ascii="宋体" w:hAnsi="宋体" w:cs="宋体"/>
        </w:rPr>
        <w:t>家的；</w:t>
      </w:r>
    </w:p>
    <w:p>
      <w:pPr>
        <w:spacing w:line="360" w:lineRule="auto"/>
        <w:ind w:firstLine="420"/>
        <w:jc w:val="left"/>
        <w:rPr>
          <w:rFonts w:ascii="宋体" w:cs="Times New Roman"/>
          <w:b/>
          <w:bCs/>
        </w:rPr>
      </w:pPr>
      <w:r>
        <w:rPr>
          <w:rFonts w:hint="eastAsia" w:ascii="宋体" w:hAnsi="宋体" w:cs="宋体"/>
        </w:rPr>
        <w:t>（</w:t>
      </w:r>
      <w:r>
        <w:rPr>
          <w:rFonts w:ascii="宋体" w:hAnsi="宋体" w:cs="宋体"/>
        </w:rPr>
        <w:t>4</w:t>
      </w:r>
      <w:r>
        <w:rPr>
          <w:rFonts w:hint="eastAsia" w:ascii="宋体" w:hAnsi="宋体" w:cs="宋体"/>
        </w:rPr>
        <w:t>）因重大变故，采购任务取消的。</w:t>
      </w:r>
    </w:p>
    <w:p>
      <w:pPr>
        <w:spacing w:line="360" w:lineRule="auto"/>
        <w:jc w:val="left"/>
        <w:rPr>
          <w:rFonts w:ascii="宋体" w:cs="Times New Roman"/>
          <w:b/>
          <w:bCs/>
        </w:rPr>
      </w:pPr>
      <w:r>
        <w:rPr>
          <w:rFonts w:ascii="宋体" w:hAnsi="宋体" w:cs="宋体"/>
          <w:b/>
          <w:bCs/>
        </w:rPr>
        <w:t>34</w:t>
      </w:r>
      <w:r>
        <w:rPr>
          <w:rFonts w:hint="eastAsia" w:ascii="宋体" w:hAnsi="宋体" w:cs="宋体"/>
          <w:b/>
          <w:bCs/>
        </w:rPr>
        <w:t>．重新评审</w:t>
      </w:r>
    </w:p>
    <w:p>
      <w:pPr>
        <w:spacing w:line="360" w:lineRule="auto"/>
        <w:ind w:firstLine="420"/>
        <w:jc w:val="left"/>
        <w:rPr>
          <w:rFonts w:ascii="宋体" w:cs="Times New Roman"/>
        </w:rPr>
      </w:pPr>
      <w:r>
        <w:rPr>
          <w:rFonts w:ascii="宋体" w:hAnsi="宋体" w:cs="宋体"/>
        </w:rPr>
        <w:t>34.1</w:t>
      </w:r>
      <w:r>
        <w:rPr>
          <w:rFonts w:hint="eastAsia" w:ascii="宋体" w:hAnsi="宋体" w:cs="宋体"/>
        </w:rPr>
        <w:t>除资格性审查认定错误和价格计算错误外，采购人或者采购代理机构不以任何理由组织重新评审。采购人、采购代理机构发现谈判小组未按照采购文件规定的评定成交的标准进行评审的，应当重新开展采购活动，并同时书面报告本级财政部门。</w:t>
      </w:r>
    </w:p>
    <w:p>
      <w:pPr>
        <w:spacing w:line="360" w:lineRule="auto"/>
        <w:rPr>
          <w:rFonts w:ascii="宋体" w:cs="Times New Roman"/>
          <w:b/>
          <w:bCs/>
        </w:rPr>
      </w:pPr>
      <w:r>
        <w:rPr>
          <w:rFonts w:ascii="宋体" w:hAnsi="宋体" w:cs="宋体"/>
          <w:b/>
          <w:bCs/>
        </w:rPr>
        <w:t>35.</w:t>
      </w:r>
      <w:r>
        <w:rPr>
          <w:rFonts w:hint="eastAsia" w:ascii="宋体" w:hAnsi="宋体" w:cs="宋体"/>
          <w:b/>
          <w:bCs/>
        </w:rPr>
        <w:t>保密及串通行为</w:t>
      </w:r>
    </w:p>
    <w:p>
      <w:pPr>
        <w:spacing w:line="360" w:lineRule="auto"/>
        <w:ind w:firstLine="420"/>
        <w:rPr>
          <w:rFonts w:ascii="宋体" w:cs="Times New Roman"/>
        </w:rPr>
      </w:pPr>
      <w:r>
        <w:rPr>
          <w:rFonts w:ascii="宋体" w:hAnsi="宋体" w:cs="宋体"/>
        </w:rPr>
        <w:t>35.1</w:t>
      </w:r>
      <w:r>
        <w:rPr>
          <w:rFonts w:hint="eastAsia" w:ascii="宋体" w:hAnsi="宋体" w:cs="宋体"/>
        </w:rPr>
        <w:t>谈判小组成员以及与评审工作有关的人员不得泄露评审情况以及评审过程中获悉的国家秘密、商业秘密。</w:t>
      </w:r>
    </w:p>
    <w:p>
      <w:pPr>
        <w:spacing w:line="360" w:lineRule="auto"/>
        <w:ind w:firstLine="420"/>
        <w:rPr>
          <w:rFonts w:ascii="宋体" w:cs="Times New Roman"/>
        </w:rPr>
      </w:pPr>
      <w:r>
        <w:rPr>
          <w:rFonts w:ascii="宋体" w:hAnsi="宋体" w:cs="宋体"/>
        </w:rPr>
        <w:t>35.2</w:t>
      </w:r>
      <w:r>
        <w:rPr>
          <w:rFonts w:hint="eastAsia" w:ascii="宋体" w:hAnsi="宋体" w:cs="宋体"/>
        </w:rPr>
        <w:t>供应商不得与采购人、采购代理机构、其他供应商恶意串通；不得向采购人、采购代理机构或者谈判小组成员行贿或者提供其他不正当利益；不得提供虚假材料谋取成交；不得以任何方式干扰、影响采购工作。</w:t>
      </w:r>
    </w:p>
    <w:p>
      <w:pPr>
        <w:spacing w:line="360" w:lineRule="auto"/>
        <w:ind w:firstLine="420"/>
        <w:jc w:val="left"/>
        <w:rPr>
          <w:rFonts w:ascii="宋体" w:cs="Times New Roman"/>
        </w:rPr>
      </w:pPr>
      <w:r>
        <w:rPr>
          <w:rFonts w:ascii="宋体" w:hAnsi="宋体" w:cs="宋体"/>
        </w:rPr>
        <w:t>35.3</w:t>
      </w:r>
      <w:r>
        <w:rPr>
          <w:rFonts w:hint="eastAsia" w:ascii="宋体" w:hAnsi="宋体" w:cs="宋体"/>
        </w:rPr>
        <w:t>有下列情形之一的，属于恶意串通，成交无效，并依照《政府采购法》第七十七条的规定追究法律责任：</w:t>
      </w:r>
    </w:p>
    <w:p>
      <w:pPr>
        <w:spacing w:line="360" w:lineRule="auto"/>
        <w:ind w:firstLine="420"/>
        <w:rPr>
          <w:rFonts w:ascii="宋体" w:cs="Times New Roman"/>
        </w:rPr>
      </w:pPr>
      <w:r>
        <w:rPr>
          <w:rFonts w:hint="eastAsia" w:ascii="宋体" w:hAnsi="宋体" w:cs="宋体"/>
        </w:rPr>
        <w:t>（</w:t>
      </w:r>
      <w:r>
        <w:rPr>
          <w:rFonts w:ascii="宋体" w:hAnsi="宋体" w:cs="宋体"/>
        </w:rPr>
        <w:t>1</w:t>
      </w:r>
      <w:r>
        <w:rPr>
          <w:rFonts w:hint="eastAsia" w:ascii="宋体" w:hAnsi="宋体" w:cs="宋体"/>
        </w:rPr>
        <w:t>）供应商直接或者间接从采购人、采购代理机构获得其他供应商的响应情况，并修改其响应文件的；</w:t>
      </w:r>
    </w:p>
    <w:p>
      <w:pPr>
        <w:spacing w:line="360" w:lineRule="auto"/>
        <w:ind w:firstLine="420"/>
        <w:rPr>
          <w:rFonts w:ascii="宋体" w:cs="Times New Roman"/>
        </w:rPr>
      </w:pPr>
      <w:r>
        <w:rPr>
          <w:rFonts w:hint="eastAsia" w:ascii="宋体" w:hAnsi="宋体" w:cs="宋体"/>
        </w:rPr>
        <w:t>（</w:t>
      </w:r>
      <w:r>
        <w:rPr>
          <w:rFonts w:ascii="宋体" w:hAnsi="宋体" w:cs="宋体"/>
        </w:rPr>
        <w:t>2</w:t>
      </w:r>
      <w:r>
        <w:rPr>
          <w:rFonts w:hint="eastAsia" w:ascii="宋体" w:hAnsi="宋体" w:cs="宋体"/>
        </w:rPr>
        <w:t>）采购人、采购代理机构授意供应商撤换、修改响应文件的；</w:t>
      </w:r>
    </w:p>
    <w:p>
      <w:pPr>
        <w:spacing w:line="360" w:lineRule="auto"/>
        <w:ind w:firstLine="420"/>
        <w:rPr>
          <w:rFonts w:ascii="宋体" w:cs="Times New Roman"/>
        </w:rPr>
      </w:pPr>
      <w:r>
        <w:rPr>
          <w:rFonts w:hint="eastAsia" w:ascii="宋体" w:hAnsi="宋体" w:cs="宋体"/>
        </w:rPr>
        <w:t>（</w:t>
      </w:r>
      <w:r>
        <w:rPr>
          <w:rFonts w:ascii="宋体" w:hAnsi="宋体" w:cs="宋体"/>
        </w:rPr>
        <w:t>3</w:t>
      </w:r>
      <w:r>
        <w:rPr>
          <w:rFonts w:hint="eastAsia" w:ascii="宋体" w:hAnsi="宋体" w:cs="宋体"/>
        </w:rPr>
        <w:t>）供应商之间协商技术方案、合同条款以及报价等响应文件实质性内容的；</w:t>
      </w:r>
    </w:p>
    <w:p>
      <w:pPr>
        <w:spacing w:line="360" w:lineRule="auto"/>
        <w:ind w:firstLine="420"/>
        <w:rPr>
          <w:rFonts w:ascii="宋体" w:cs="Times New Roman"/>
        </w:rPr>
      </w:pPr>
      <w:r>
        <w:rPr>
          <w:rFonts w:hint="eastAsia" w:ascii="宋体" w:hAnsi="宋体" w:cs="宋体"/>
        </w:rPr>
        <w:t>（</w:t>
      </w:r>
      <w:r>
        <w:rPr>
          <w:rFonts w:ascii="宋体" w:hAnsi="宋体" w:cs="宋体"/>
        </w:rPr>
        <w:t>4</w:t>
      </w:r>
      <w:r>
        <w:rPr>
          <w:rFonts w:hint="eastAsia" w:ascii="宋体" w:hAnsi="宋体" w:cs="宋体"/>
        </w:rPr>
        <w:t>）属于同一集团、协会、商会等组织成员的供应商按照该组织要求协同参加竞争性谈判政府采购活动的；</w:t>
      </w:r>
    </w:p>
    <w:p>
      <w:pPr>
        <w:spacing w:line="360" w:lineRule="auto"/>
        <w:ind w:firstLine="420"/>
        <w:rPr>
          <w:rFonts w:ascii="宋体" w:cs="Times New Roman"/>
        </w:rPr>
      </w:pPr>
      <w:r>
        <w:rPr>
          <w:rFonts w:hint="eastAsia" w:ascii="宋体" w:hAnsi="宋体" w:cs="宋体"/>
        </w:rPr>
        <w:t>（</w:t>
      </w:r>
      <w:r>
        <w:rPr>
          <w:rFonts w:ascii="宋体" w:hAnsi="宋体" w:cs="宋体"/>
        </w:rPr>
        <w:t>5</w:t>
      </w:r>
      <w:r>
        <w:rPr>
          <w:rFonts w:hint="eastAsia" w:ascii="宋体" w:hAnsi="宋体" w:cs="宋体"/>
        </w:rPr>
        <w:t>）供应商之间事先约定由某一特定供应商成交的；</w:t>
      </w:r>
    </w:p>
    <w:p>
      <w:pPr>
        <w:spacing w:line="360" w:lineRule="auto"/>
        <w:ind w:firstLine="420"/>
        <w:rPr>
          <w:rFonts w:ascii="宋体" w:cs="Times New Roman"/>
        </w:rPr>
      </w:pPr>
      <w:r>
        <w:rPr>
          <w:rFonts w:hint="eastAsia" w:ascii="宋体" w:hAnsi="宋体" w:cs="宋体"/>
        </w:rPr>
        <w:t>（</w:t>
      </w:r>
      <w:r>
        <w:rPr>
          <w:rFonts w:ascii="宋体" w:hAnsi="宋体" w:cs="宋体"/>
        </w:rPr>
        <w:t>6</w:t>
      </w:r>
      <w:r>
        <w:rPr>
          <w:rFonts w:hint="eastAsia" w:ascii="宋体" w:hAnsi="宋体" w:cs="宋体"/>
        </w:rPr>
        <w:t>）供应商之间商定部分供应商放弃提交响应文件或者退出谈判或者放弃成交的；</w:t>
      </w:r>
    </w:p>
    <w:p>
      <w:pPr>
        <w:spacing w:line="360" w:lineRule="auto"/>
        <w:ind w:firstLine="420"/>
        <w:rPr>
          <w:rFonts w:ascii="宋体" w:cs="Times New Roman"/>
          <w:b/>
          <w:bCs/>
        </w:rPr>
      </w:pPr>
      <w:r>
        <w:rPr>
          <w:rFonts w:hint="eastAsia" w:ascii="宋体" w:hAnsi="宋体" w:cs="宋体"/>
        </w:rPr>
        <w:t>（</w:t>
      </w:r>
      <w:r>
        <w:rPr>
          <w:rFonts w:ascii="宋体" w:hAnsi="宋体" w:cs="宋体"/>
        </w:rPr>
        <w:t>7</w:t>
      </w:r>
      <w:r>
        <w:rPr>
          <w:rFonts w:hint="eastAsia" w:ascii="宋体" w:hAnsi="宋体" w:cs="宋体"/>
        </w:rPr>
        <w:t>）供应商与采购人、采购代理机构以及谈判小组成员之间、供应商相互之间，为谋求特定供应商成交或者排斥其他供应商的其他串通行为的。</w:t>
      </w:r>
    </w:p>
    <w:p>
      <w:pPr>
        <w:spacing w:line="360" w:lineRule="auto"/>
        <w:ind w:firstLine="420"/>
        <w:rPr>
          <w:rFonts w:ascii="宋体" w:cs="Times New Roman"/>
        </w:rPr>
      </w:pPr>
      <w:r>
        <w:rPr>
          <w:rFonts w:hint="eastAsia" w:ascii="宋体" w:hAnsi="宋体" w:cs="宋体"/>
        </w:rPr>
        <w:t>（</w:t>
      </w:r>
      <w:r>
        <w:rPr>
          <w:rFonts w:ascii="宋体" w:hAnsi="宋体" w:cs="宋体"/>
        </w:rPr>
        <w:t>8</w:t>
      </w:r>
      <w:r>
        <w:rPr>
          <w:rFonts w:hint="eastAsia" w:ascii="宋体" w:hAnsi="宋体" w:cs="宋体"/>
        </w:rPr>
        <w:t>）法律、行政法规或规章规定的其他串通行为。</w:t>
      </w:r>
    </w:p>
    <w:p>
      <w:pPr>
        <w:spacing w:line="360" w:lineRule="auto"/>
        <w:rPr>
          <w:rFonts w:ascii="黑体" w:hAnsi="黑体" w:eastAsia="黑体" w:cs="Times New Roman"/>
          <w:b/>
          <w:sz w:val="24"/>
          <w:szCs w:val="24"/>
        </w:rPr>
      </w:pPr>
      <w:r>
        <w:rPr>
          <w:rFonts w:hint="eastAsia" w:ascii="黑体" w:hAnsi="黑体" w:eastAsia="黑体" w:cs="黑体"/>
          <w:b/>
          <w:sz w:val="24"/>
          <w:szCs w:val="24"/>
        </w:rPr>
        <w:t>六、成交结果信息公布与授予合同</w:t>
      </w:r>
    </w:p>
    <w:p>
      <w:pPr>
        <w:spacing w:line="360" w:lineRule="auto"/>
        <w:rPr>
          <w:rFonts w:ascii="宋体" w:cs="Times New Roman"/>
          <w:b/>
          <w:bCs/>
        </w:rPr>
      </w:pPr>
      <w:r>
        <w:rPr>
          <w:rFonts w:ascii="宋体" w:hAnsi="宋体" w:cs="宋体"/>
          <w:b/>
          <w:bCs/>
        </w:rPr>
        <w:t>36.</w:t>
      </w:r>
      <w:r>
        <w:rPr>
          <w:rFonts w:hint="eastAsia" w:ascii="宋体" w:hAnsi="宋体" w:cs="宋体"/>
          <w:b/>
          <w:bCs/>
        </w:rPr>
        <w:t>成交信息的公布</w:t>
      </w:r>
    </w:p>
    <w:p>
      <w:pPr>
        <w:spacing w:line="360" w:lineRule="auto"/>
        <w:ind w:firstLine="420"/>
        <w:rPr>
          <w:rFonts w:ascii="宋体" w:cs="Times New Roman"/>
        </w:rPr>
      </w:pPr>
      <w:r>
        <w:rPr>
          <w:rFonts w:ascii="宋体" w:hAnsi="宋体" w:cs="宋体"/>
        </w:rPr>
        <w:t>36.1</w:t>
      </w:r>
      <w:r>
        <w:rPr>
          <w:rFonts w:hint="eastAsia" w:ascii="宋体" w:hAnsi="宋体" w:cs="宋体"/>
        </w:rPr>
        <w:t>成交供应商确定后</w:t>
      </w:r>
      <w:r>
        <w:rPr>
          <w:rFonts w:ascii="宋体" w:hAnsi="宋体" w:cs="宋体"/>
        </w:rPr>
        <w:t>2</w:t>
      </w:r>
      <w:r>
        <w:rPr>
          <w:rFonts w:hint="eastAsia" w:ascii="宋体" w:hAnsi="宋体" w:cs="宋体"/>
        </w:rPr>
        <w:t>个工作日内，采购人或者采购代理机构应将成交结果信息在</w:t>
      </w:r>
      <w:r>
        <w:rPr>
          <w:rFonts w:hint="eastAsia" w:ascii="宋体" w:hAnsi="宋体" w:cs="宋体"/>
          <w:b/>
          <w:bCs/>
        </w:rPr>
        <w:t>谈判须知前附表</w:t>
      </w:r>
      <w:r>
        <w:rPr>
          <w:rFonts w:hint="eastAsia" w:ascii="宋体" w:hAnsi="宋体" w:cs="宋体"/>
        </w:rPr>
        <w:t>指定的媒体上公布。</w:t>
      </w:r>
    </w:p>
    <w:p>
      <w:pPr>
        <w:spacing w:line="360" w:lineRule="auto"/>
        <w:rPr>
          <w:rFonts w:ascii="宋体" w:cs="Times New Roman"/>
          <w:b/>
          <w:bCs/>
        </w:rPr>
      </w:pPr>
      <w:r>
        <w:rPr>
          <w:rFonts w:ascii="宋体" w:hAnsi="宋体" w:cs="宋体"/>
          <w:b/>
          <w:bCs/>
        </w:rPr>
        <w:t>37.</w:t>
      </w:r>
      <w:r>
        <w:rPr>
          <w:rFonts w:hint="eastAsia" w:ascii="宋体" w:hAnsi="宋体" w:cs="宋体"/>
          <w:b/>
          <w:bCs/>
        </w:rPr>
        <w:t>询问及质疑</w:t>
      </w:r>
    </w:p>
    <w:p>
      <w:pPr>
        <w:spacing w:line="360" w:lineRule="auto"/>
        <w:ind w:firstLine="420"/>
        <w:jc w:val="left"/>
        <w:rPr>
          <w:rFonts w:ascii="Times New Roman" w:hAnsi="Times New Roman" w:cs="Times New Roman"/>
        </w:rPr>
      </w:pPr>
      <w:r>
        <w:rPr>
          <w:rFonts w:ascii="宋体" w:hAnsi="宋体" w:cs="宋体"/>
        </w:rPr>
        <w:t>37.1</w:t>
      </w:r>
      <w:r>
        <w:rPr>
          <w:rFonts w:hint="eastAsia" w:ascii="宋体" w:hAnsi="宋体" w:cs="宋体"/>
        </w:rPr>
        <w:t>供应商对政府采购活动事项有疑问的，可以向采购人或采购代理机构提出询问。</w:t>
      </w:r>
    </w:p>
    <w:p>
      <w:pPr>
        <w:spacing w:line="360" w:lineRule="auto"/>
        <w:ind w:firstLine="420"/>
        <w:jc w:val="left"/>
        <w:rPr>
          <w:rFonts w:ascii="宋体" w:cs="Times New Roman"/>
          <w:color w:val="FF0000"/>
        </w:rPr>
      </w:pPr>
      <w:r>
        <w:rPr>
          <w:rFonts w:ascii="宋体" w:hAnsi="宋体" w:cs="宋体"/>
        </w:rPr>
        <w:t>37.2</w:t>
      </w:r>
      <w:r>
        <w:rPr>
          <w:rFonts w:hint="eastAsia" w:ascii="宋体" w:hAnsi="宋体" w:cs="宋体"/>
        </w:rPr>
        <w:t>供应商若认为谈判文件、采购过程和成交结果使自己的权益受到损害，可以按法律、规章及湖南省财政厅规范性文件规定向采购人或采购代理机构提出质疑。</w:t>
      </w:r>
    </w:p>
    <w:p>
      <w:pPr>
        <w:spacing w:line="360" w:lineRule="auto"/>
        <w:rPr>
          <w:rFonts w:ascii="宋体" w:cs="Times New Roman"/>
          <w:b/>
          <w:bCs/>
        </w:rPr>
      </w:pPr>
      <w:r>
        <w:rPr>
          <w:rFonts w:ascii="宋体" w:hAnsi="宋体" w:cs="宋体"/>
          <w:b/>
          <w:bCs/>
        </w:rPr>
        <w:t>38.</w:t>
      </w:r>
      <w:r>
        <w:rPr>
          <w:rFonts w:hint="eastAsia" w:ascii="宋体" w:hAnsi="宋体" w:cs="宋体"/>
          <w:b/>
          <w:bCs/>
        </w:rPr>
        <w:t>成交通知</w:t>
      </w:r>
    </w:p>
    <w:p>
      <w:pPr>
        <w:spacing w:line="360" w:lineRule="auto"/>
        <w:ind w:firstLine="420"/>
        <w:rPr>
          <w:rFonts w:ascii="宋体" w:cs="Times New Roman"/>
        </w:rPr>
      </w:pPr>
      <w:r>
        <w:rPr>
          <w:rFonts w:ascii="宋体" w:hAnsi="宋体" w:cs="宋体"/>
        </w:rPr>
        <w:t>38.1</w:t>
      </w:r>
      <w:r>
        <w:rPr>
          <w:rFonts w:hint="eastAsia" w:ascii="宋体" w:hAnsi="宋体" w:cs="宋体"/>
        </w:rPr>
        <w:t>成交供应商确定后，采购人或采购代理机构将以书面形式向成交供应商发出成交通知书。成交通知书对采购人和成交供应商具有同等法律效力。</w:t>
      </w:r>
    </w:p>
    <w:p>
      <w:pPr>
        <w:spacing w:line="360" w:lineRule="auto"/>
        <w:ind w:firstLine="420"/>
        <w:rPr>
          <w:rFonts w:ascii="宋体" w:cs="Times New Roman"/>
        </w:rPr>
      </w:pPr>
      <w:r>
        <w:rPr>
          <w:rFonts w:ascii="宋体" w:hAnsi="宋体" w:cs="宋体"/>
        </w:rPr>
        <w:t xml:space="preserve">38.2 </w:t>
      </w:r>
      <w:r>
        <w:rPr>
          <w:rFonts w:hint="eastAsia" w:ascii="宋体" w:hAnsi="宋体" w:cs="宋体"/>
        </w:rPr>
        <w:t>成交通知书是合同文件的组成部分。</w:t>
      </w:r>
    </w:p>
    <w:p>
      <w:pPr>
        <w:tabs>
          <w:tab w:val="left" w:pos="7560"/>
          <w:tab w:val="left" w:pos="7740"/>
          <w:tab w:val="left" w:pos="7920"/>
        </w:tabs>
        <w:spacing w:line="360" w:lineRule="auto"/>
        <w:ind w:firstLine="420"/>
        <w:rPr>
          <w:rFonts w:ascii="宋体" w:cs="Times New Roman"/>
        </w:rPr>
      </w:pPr>
      <w:r>
        <w:rPr>
          <w:rFonts w:ascii="宋体" w:hAnsi="宋体" w:cs="宋体"/>
        </w:rPr>
        <w:t xml:space="preserve">38.3 </w:t>
      </w:r>
      <w:r>
        <w:rPr>
          <w:rFonts w:hint="eastAsia" w:ascii="宋体" w:hAnsi="宋体" w:cs="宋体"/>
        </w:rPr>
        <w:t>成交供应商在收到采购代理机构的成交通知书后</w:t>
      </w:r>
      <w:r>
        <w:rPr>
          <w:rFonts w:ascii="宋体" w:hAnsi="宋体" w:cs="宋体"/>
        </w:rPr>
        <w:t>10</w:t>
      </w:r>
      <w:r>
        <w:rPr>
          <w:rFonts w:hint="eastAsia" w:ascii="宋体" w:hAnsi="宋体" w:cs="宋体"/>
        </w:rPr>
        <w:t>日内，应按照</w:t>
      </w:r>
      <w:r>
        <w:rPr>
          <w:rFonts w:hint="eastAsia" w:ascii="宋体" w:hAnsi="宋体" w:cs="宋体"/>
          <w:b/>
          <w:bCs/>
        </w:rPr>
        <w:t>谈判须知前附表</w:t>
      </w:r>
      <w:r>
        <w:rPr>
          <w:rFonts w:hint="eastAsia" w:ascii="宋体" w:hAnsi="宋体" w:cs="宋体"/>
        </w:rPr>
        <w:t>的规定，向采购人提交履约担保。联合体成交的，履约担保由联合体各方或联合体中牵头人的名义提交。</w:t>
      </w:r>
    </w:p>
    <w:p>
      <w:pPr>
        <w:spacing w:line="360" w:lineRule="auto"/>
        <w:ind w:firstLine="420"/>
        <w:rPr>
          <w:rFonts w:ascii="宋体" w:cs="Times New Roman"/>
        </w:rPr>
      </w:pPr>
      <w:r>
        <w:rPr>
          <w:rFonts w:ascii="宋体" w:hAnsi="宋体" w:cs="宋体"/>
        </w:rPr>
        <w:t xml:space="preserve">38.4 </w:t>
      </w:r>
      <w:r>
        <w:rPr>
          <w:rFonts w:hint="eastAsia" w:ascii="宋体" w:hAnsi="宋体" w:cs="宋体"/>
        </w:rPr>
        <w:t>成交供应商</w:t>
      </w:r>
      <w:r>
        <w:rPr>
          <w:rFonts w:hint="eastAsia" w:ascii="宋体" w:hAnsi="宋体" w:cs="宋体"/>
          <w:spacing w:val="4"/>
        </w:rPr>
        <w:t>没有按照本章第</w:t>
      </w:r>
      <w:r>
        <w:rPr>
          <w:rFonts w:ascii="宋体" w:hAnsi="宋体" w:cs="宋体"/>
          <w:spacing w:val="4"/>
        </w:rPr>
        <w:t>38.3</w:t>
      </w:r>
      <w:r>
        <w:rPr>
          <w:rFonts w:hint="eastAsia" w:ascii="宋体" w:hAnsi="宋体" w:cs="宋体"/>
        </w:rPr>
        <w:t>款</w:t>
      </w:r>
      <w:r>
        <w:rPr>
          <w:rFonts w:hint="eastAsia" w:ascii="宋体" w:hAnsi="宋体" w:cs="宋体"/>
          <w:spacing w:val="4"/>
        </w:rPr>
        <w:t>规定</w:t>
      </w:r>
      <w:r>
        <w:rPr>
          <w:rFonts w:hint="eastAsia" w:ascii="宋体" w:hAnsi="宋体" w:cs="宋体"/>
        </w:rPr>
        <w:t>提交履约担保的</w:t>
      </w:r>
      <w:r>
        <w:rPr>
          <w:rFonts w:hint="eastAsia" w:ascii="宋体" w:hAnsi="宋体" w:cs="宋体"/>
          <w:spacing w:val="4"/>
        </w:rPr>
        <w:t>，视为放弃</w:t>
      </w:r>
      <w:r>
        <w:rPr>
          <w:rFonts w:hint="eastAsia" w:ascii="宋体" w:hAnsi="宋体" w:cs="宋体"/>
        </w:rPr>
        <w:t>成交资格</w:t>
      </w:r>
      <w:r>
        <w:rPr>
          <w:rFonts w:hint="eastAsia" w:ascii="宋体" w:hAnsi="宋体" w:cs="宋体"/>
          <w:spacing w:val="4"/>
        </w:rPr>
        <w:t>，</w:t>
      </w:r>
      <w:r>
        <w:rPr>
          <w:rFonts w:hint="eastAsia" w:ascii="宋体" w:hAnsi="宋体" w:cs="宋体"/>
          <w:spacing w:val="2"/>
        </w:rPr>
        <w:t>其保证金不予退还。</w:t>
      </w:r>
    </w:p>
    <w:p>
      <w:pPr>
        <w:spacing w:line="360" w:lineRule="auto"/>
        <w:rPr>
          <w:rFonts w:ascii="宋体" w:cs="Times New Roman"/>
          <w:b/>
          <w:bCs/>
        </w:rPr>
      </w:pPr>
      <w:r>
        <w:rPr>
          <w:rFonts w:ascii="宋体" w:hAnsi="宋体" w:cs="宋体"/>
          <w:b/>
          <w:bCs/>
        </w:rPr>
        <w:t>39.</w:t>
      </w:r>
      <w:r>
        <w:rPr>
          <w:rFonts w:hint="eastAsia" w:ascii="宋体" w:hAnsi="宋体" w:cs="宋体"/>
          <w:b/>
          <w:bCs/>
        </w:rPr>
        <w:t>签订合同</w:t>
      </w:r>
    </w:p>
    <w:p>
      <w:pPr>
        <w:spacing w:line="360" w:lineRule="auto"/>
        <w:ind w:firstLine="420"/>
        <w:rPr>
          <w:rFonts w:ascii="宋体" w:cs="Times New Roman"/>
        </w:rPr>
      </w:pPr>
      <w:r>
        <w:rPr>
          <w:rFonts w:ascii="宋体" w:hAnsi="宋体" w:cs="宋体"/>
        </w:rPr>
        <w:t xml:space="preserve">39.1 </w:t>
      </w:r>
      <w:r>
        <w:rPr>
          <w:rFonts w:hint="eastAsia" w:ascii="宋体" w:hAnsi="宋体" w:cs="宋体"/>
        </w:rPr>
        <w:t>谈判文件、成交供应商的响应文件及其补充的响应文件等均为签订政府采购合同的依据。</w:t>
      </w:r>
    </w:p>
    <w:p>
      <w:pPr>
        <w:spacing w:line="360" w:lineRule="auto"/>
        <w:ind w:firstLine="420"/>
        <w:rPr>
          <w:rFonts w:ascii="宋体" w:cs="Times New Roman"/>
        </w:rPr>
      </w:pPr>
      <w:r>
        <w:rPr>
          <w:rFonts w:ascii="宋体" w:hAnsi="宋体" w:cs="宋体"/>
        </w:rPr>
        <w:t xml:space="preserve">39.2 </w:t>
      </w:r>
      <w:r>
        <w:rPr>
          <w:rFonts w:hint="eastAsia" w:ascii="宋体" w:hAnsi="宋体" w:cs="宋体"/>
        </w:rPr>
        <w:t>成交供应商应当在成交通知书发出之日起</w:t>
      </w:r>
      <w:r>
        <w:rPr>
          <w:rFonts w:ascii="宋体" w:hAnsi="宋体" w:cs="宋体"/>
        </w:rPr>
        <w:t>30</w:t>
      </w:r>
      <w:r>
        <w:rPr>
          <w:rFonts w:hint="eastAsia" w:ascii="宋体" w:hAnsi="宋体" w:cs="宋体"/>
        </w:rPr>
        <w:t>日内与采购人签订政府采购合同。</w:t>
      </w:r>
    </w:p>
    <w:p>
      <w:pPr>
        <w:spacing w:line="360" w:lineRule="auto"/>
        <w:ind w:firstLine="420"/>
        <w:rPr>
          <w:rFonts w:ascii="宋体" w:cs="Times New Roman"/>
        </w:rPr>
      </w:pPr>
      <w:r>
        <w:rPr>
          <w:rFonts w:ascii="宋体" w:hAnsi="宋体" w:cs="宋体"/>
        </w:rPr>
        <w:t xml:space="preserve">39.3 </w:t>
      </w:r>
      <w:r>
        <w:rPr>
          <w:rFonts w:hint="eastAsia" w:ascii="宋体" w:hAnsi="宋体" w:cs="宋体"/>
        </w:rPr>
        <w:t>成交供应商应当按照合同约定履行义务。成交供应商不得向他人转让成交项目，也不得将成交项目分包后分别向他人转让。</w:t>
      </w:r>
    </w:p>
    <w:p>
      <w:pPr>
        <w:spacing w:line="360" w:lineRule="auto"/>
        <w:ind w:firstLine="420"/>
        <w:rPr>
          <w:rFonts w:ascii="宋体" w:cs="Times New Roman"/>
        </w:rPr>
      </w:pPr>
      <w:r>
        <w:rPr>
          <w:rFonts w:ascii="宋体" w:hAnsi="宋体" w:cs="宋体"/>
        </w:rPr>
        <w:t xml:space="preserve">39.4 </w:t>
      </w:r>
      <w:r>
        <w:rPr>
          <w:rFonts w:hint="eastAsia" w:ascii="宋体" w:hAnsi="宋体" w:cs="宋体"/>
        </w:rPr>
        <w:t>成交供应商有下列情形之一的，责令限期改正，情节严重的，列入不良行为记录名单，在</w:t>
      </w:r>
      <w:r>
        <w:rPr>
          <w:rFonts w:ascii="宋体" w:hAnsi="宋体" w:cs="宋体"/>
        </w:rPr>
        <w:t>1</w:t>
      </w:r>
      <w:r>
        <w:rPr>
          <w:rFonts w:hint="eastAsia" w:ascii="宋体" w:hAnsi="宋体" w:cs="宋体"/>
        </w:rPr>
        <w:t>至</w:t>
      </w:r>
      <w:r>
        <w:rPr>
          <w:rFonts w:ascii="宋体" w:hAnsi="宋体" w:cs="宋体"/>
        </w:rPr>
        <w:t>3</w:t>
      </w:r>
      <w:r>
        <w:rPr>
          <w:rFonts w:hint="eastAsia" w:ascii="宋体" w:hAnsi="宋体" w:cs="宋体"/>
        </w:rPr>
        <w:t>年内禁止参加政府采购活动，并予以通报：</w:t>
      </w:r>
    </w:p>
    <w:p>
      <w:pPr>
        <w:spacing w:line="360" w:lineRule="auto"/>
        <w:ind w:firstLine="420"/>
        <w:rPr>
          <w:rFonts w:ascii="宋体" w:cs="Times New Roman"/>
        </w:rPr>
      </w:pPr>
      <w:r>
        <w:rPr>
          <w:rFonts w:hint="eastAsia" w:ascii="宋体" w:hAnsi="宋体" w:cs="宋体"/>
        </w:rPr>
        <w:t>（一）成交后无正当理由不与采购人签订合同的；</w:t>
      </w:r>
    </w:p>
    <w:p>
      <w:pPr>
        <w:spacing w:line="360" w:lineRule="auto"/>
        <w:ind w:firstLine="420"/>
        <w:rPr>
          <w:rFonts w:ascii="宋体" w:cs="Times New Roman"/>
        </w:rPr>
      </w:pPr>
      <w:r>
        <w:rPr>
          <w:rFonts w:hint="eastAsia" w:ascii="宋体" w:hAnsi="宋体" w:cs="宋体"/>
        </w:rPr>
        <w:t>（二）未按照采购文件确定的事项签订政府采购合同，或者与采购人另行订立背离合同实质性内容的协议的；</w:t>
      </w:r>
    </w:p>
    <w:p>
      <w:pPr>
        <w:spacing w:line="360" w:lineRule="auto"/>
        <w:ind w:firstLine="420"/>
        <w:rPr>
          <w:rFonts w:ascii="宋体" w:cs="Times New Roman"/>
        </w:rPr>
      </w:pPr>
      <w:r>
        <w:rPr>
          <w:rFonts w:hint="eastAsia" w:ascii="宋体" w:hAnsi="宋体" w:cs="宋体"/>
        </w:rPr>
        <w:t>（三）拒绝履行合同义务的；</w:t>
      </w:r>
    </w:p>
    <w:p>
      <w:pPr>
        <w:spacing w:line="360" w:lineRule="auto"/>
        <w:ind w:firstLine="420"/>
        <w:rPr>
          <w:rFonts w:ascii="宋体" w:cs="Times New Roman"/>
        </w:rPr>
      </w:pPr>
      <w:r>
        <w:rPr>
          <w:rFonts w:hint="eastAsia" w:ascii="宋体" w:hAnsi="宋体" w:cs="宋体"/>
        </w:rPr>
        <w:t>（四）违反法律、规章、规范性文件规定的。</w:t>
      </w:r>
    </w:p>
    <w:p>
      <w:pPr>
        <w:spacing w:line="360" w:lineRule="auto"/>
        <w:rPr>
          <w:rFonts w:ascii="黑体" w:hAnsi="黑体" w:eastAsia="黑体" w:cs="Times New Roman"/>
          <w:b/>
          <w:sz w:val="24"/>
          <w:szCs w:val="24"/>
        </w:rPr>
      </w:pPr>
      <w:r>
        <w:rPr>
          <w:rFonts w:hint="eastAsia" w:ascii="黑体" w:hAnsi="黑体" w:eastAsia="黑体" w:cs="黑体"/>
          <w:b/>
          <w:sz w:val="24"/>
          <w:szCs w:val="24"/>
        </w:rPr>
        <w:t>七、其他规定</w:t>
      </w:r>
    </w:p>
    <w:p>
      <w:pPr>
        <w:spacing w:line="360" w:lineRule="auto"/>
        <w:jc w:val="left"/>
        <w:rPr>
          <w:rFonts w:ascii="宋体" w:cs="Times New Roman"/>
          <w:b/>
          <w:bCs/>
        </w:rPr>
      </w:pPr>
      <w:r>
        <w:rPr>
          <w:rFonts w:ascii="宋体" w:hAnsi="宋体" w:cs="宋体"/>
          <w:b/>
          <w:bCs/>
        </w:rPr>
        <w:t>40.</w:t>
      </w:r>
      <w:r>
        <w:rPr>
          <w:rFonts w:hint="eastAsia" w:ascii="宋体" w:hAnsi="宋体" w:cs="宋体"/>
          <w:b/>
          <w:bCs/>
        </w:rPr>
        <w:t>采购代理服务费</w:t>
      </w:r>
    </w:p>
    <w:p>
      <w:pPr>
        <w:tabs>
          <w:tab w:val="left" w:pos="420"/>
          <w:tab w:val="left" w:pos="7560"/>
          <w:tab w:val="left" w:pos="7740"/>
          <w:tab w:val="left" w:pos="7920"/>
        </w:tabs>
        <w:spacing w:line="360" w:lineRule="auto"/>
        <w:ind w:firstLine="420"/>
        <w:rPr>
          <w:rFonts w:ascii="宋体" w:cs="Times New Roman"/>
        </w:rPr>
      </w:pPr>
      <w:r>
        <w:rPr>
          <w:rFonts w:ascii="宋体" w:hAnsi="宋体" w:cs="宋体"/>
        </w:rPr>
        <w:t>40.1</w:t>
      </w:r>
      <w:r>
        <w:rPr>
          <w:rFonts w:hint="eastAsia" w:ascii="宋体" w:hAnsi="宋体" w:cs="宋体"/>
        </w:rPr>
        <w:t>成交供应商应按</w:t>
      </w:r>
      <w:r>
        <w:rPr>
          <w:rFonts w:hint="eastAsia" w:ascii="宋体" w:hAnsi="宋体" w:cs="宋体"/>
          <w:b/>
        </w:rPr>
        <w:t>谈判须知前附表</w:t>
      </w:r>
      <w:r>
        <w:rPr>
          <w:rFonts w:hint="eastAsia" w:ascii="宋体" w:hAnsi="宋体" w:cs="宋体"/>
        </w:rPr>
        <w:t>规定交纳采购代理服务费。</w:t>
      </w:r>
    </w:p>
    <w:p>
      <w:pPr>
        <w:tabs>
          <w:tab w:val="left" w:pos="420"/>
          <w:tab w:val="left" w:pos="7560"/>
          <w:tab w:val="left" w:pos="7740"/>
          <w:tab w:val="left" w:pos="7920"/>
        </w:tabs>
        <w:spacing w:line="360" w:lineRule="auto"/>
        <w:ind w:firstLine="420"/>
        <w:rPr>
          <w:rFonts w:ascii="宋体" w:cs="Times New Roman"/>
        </w:rPr>
      </w:pPr>
      <w:r>
        <w:rPr>
          <w:rFonts w:ascii="宋体" w:hAnsi="宋体" w:cs="宋体"/>
        </w:rPr>
        <w:t>40.2</w:t>
      </w:r>
      <w:r>
        <w:rPr>
          <w:rFonts w:hint="eastAsia" w:ascii="宋体" w:hAnsi="宋体" w:cs="宋体"/>
        </w:rPr>
        <w:t>集中采购机构不得收取采购代理服务费。</w:t>
      </w:r>
    </w:p>
    <w:p>
      <w:pPr>
        <w:tabs>
          <w:tab w:val="left" w:pos="420"/>
          <w:tab w:val="left" w:pos="7560"/>
          <w:tab w:val="left" w:pos="7740"/>
          <w:tab w:val="left" w:pos="7920"/>
        </w:tabs>
        <w:spacing w:line="360" w:lineRule="auto"/>
        <w:rPr>
          <w:rFonts w:ascii="Times New Roman" w:hAnsi="Times New Roman" w:cs="Times New Roman"/>
          <w:b/>
          <w:bCs/>
        </w:rPr>
      </w:pPr>
      <w:r>
        <w:rPr>
          <w:rFonts w:ascii="宋体" w:hAnsi="宋体" w:cs="宋体"/>
          <w:b/>
          <w:bCs/>
        </w:rPr>
        <w:t>41.</w:t>
      </w:r>
      <w:r>
        <w:rPr>
          <w:rFonts w:hint="eastAsia" w:ascii="宋体" w:hAnsi="宋体" w:cs="宋体"/>
          <w:b/>
          <w:bCs/>
        </w:rPr>
        <w:t>其他规定</w:t>
      </w:r>
    </w:p>
    <w:p>
      <w:pPr>
        <w:tabs>
          <w:tab w:val="left" w:pos="420"/>
          <w:tab w:val="left" w:pos="7560"/>
          <w:tab w:val="left" w:pos="7740"/>
          <w:tab w:val="left" w:pos="7920"/>
        </w:tabs>
        <w:spacing w:line="360" w:lineRule="auto"/>
        <w:ind w:firstLine="420"/>
        <w:rPr>
          <w:rFonts w:ascii="宋体" w:hAnsi="宋体" w:cs="宋体"/>
          <w:b/>
          <w:bCs/>
          <w:sz w:val="28"/>
          <w:szCs w:val="28"/>
        </w:rPr>
      </w:pPr>
      <w:r>
        <w:rPr>
          <w:rFonts w:ascii="宋体" w:hAnsi="宋体" w:cs="宋体"/>
        </w:rPr>
        <w:t>41.1</w:t>
      </w:r>
      <w:r>
        <w:rPr>
          <w:rFonts w:hint="eastAsia" w:ascii="宋体" w:hAnsi="宋体" w:cs="宋体"/>
        </w:rPr>
        <w:t>谈判文件的其他规定见</w:t>
      </w:r>
      <w:r>
        <w:rPr>
          <w:rFonts w:hint="eastAsia" w:ascii="宋体" w:hAnsi="宋体" w:cs="宋体"/>
          <w:b/>
          <w:bCs/>
        </w:rPr>
        <w:t>谈判须知前附表</w:t>
      </w: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ascii="宋体" w:hAnsi="宋体" w:cs="宋体"/>
          <w:b/>
          <w:bCs/>
          <w:sz w:val="28"/>
          <w:szCs w:val="28"/>
        </w:rPr>
      </w:pPr>
      <w:r>
        <w:rPr>
          <w:rFonts w:hint="eastAsia" w:ascii="宋体" w:hAnsi="宋体" w:cs="宋体"/>
          <w:b/>
          <w:bCs/>
          <w:sz w:val="28"/>
          <w:szCs w:val="28"/>
        </w:rPr>
        <w:t>附件1</w:t>
      </w:r>
    </w:p>
    <w:p>
      <w:pPr>
        <w:widowControl/>
        <w:spacing w:beforeAutospacing="1" w:after="100" w:afterAutospacing="1" w:line="360" w:lineRule="atLeast"/>
        <w:ind w:firstLine="300"/>
        <w:jc w:val="center"/>
        <w:rPr>
          <w:rFonts w:ascii="宋体" w:hAnsi="宋体" w:cs="宋体"/>
          <w:color w:val="000000"/>
          <w:sz w:val="32"/>
          <w:szCs w:val="32"/>
        </w:rPr>
      </w:pPr>
      <w:r>
        <w:rPr>
          <w:rFonts w:hint="eastAsia" w:ascii="宋体" w:hAnsi="宋体" w:cs="宋体"/>
          <w:color w:val="000000"/>
          <w:sz w:val="32"/>
          <w:szCs w:val="32"/>
        </w:rPr>
        <w:t>资格证明材料承诺函</w:t>
      </w:r>
    </w:p>
    <w:p>
      <w:pPr>
        <w:widowControl/>
        <w:spacing w:beforeAutospacing="1" w:after="100" w:afterAutospacing="1" w:line="360" w:lineRule="atLeast"/>
        <w:ind w:firstLine="500"/>
        <w:jc w:val="left"/>
        <w:rPr>
          <w:rFonts w:ascii="宋体" w:hAnsi="宋体" w:cs="宋体"/>
        </w:rPr>
      </w:pPr>
      <w:r>
        <w:rPr>
          <w:rFonts w:hint="eastAsia" w:ascii="宋体" w:hAnsi="宋体" w:cs="宋体"/>
          <w:color w:val="000000"/>
        </w:rPr>
        <w:t>我们，</w:t>
      </w:r>
      <w:r>
        <w:rPr>
          <w:rFonts w:hint="eastAsia" w:ascii="宋体" w:hAnsi="宋体" w:cs="宋体"/>
          <w:color w:val="000000"/>
          <w:u w:val="single"/>
        </w:rPr>
        <w:t>                 </w:t>
      </w:r>
      <w:r>
        <w:rPr>
          <w:rFonts w:hint="eastAsia" w:ascii="宋体" w:hAnsi="宋体" w:cs="宋体"/>
          <w:color w:val="000000"/>
        </w:rPr>
        <w:t>（供应商名称）已认真阅读《中华人民共和国政府采购法》及《竞争性谈判邀请公告》[</w:t>
      </w:r>
      <w:r>
        <w:rPr>
          <w:rFonts w:hint="eastAsia" w:ascii="宋体" w:hAnsi="宋体" w:cs="宋体"/>
          <w:color w:val="000000"/>
          <w:u w:val="single"/>
        </w:rPr>
        <w:t>            </w:t>
      </w:r>
      <w:r>
        <w:rPr>
          <w:rFonts w:hint="eastAsia" w:ascii="宋体" w:hAnsi="宋体" w:cs="宋体"/>
          <w:color w:val="000000"/>
        </w:rPr>
        <w:t>（</w:t>
      </w:r>
      <w:r>
        <w:rPr>
          <w:rFonts w:hint="eastAsia" w:ascii="宋体" w:hAnsi="宋体" w:cs="宋体"/>
        </w:rPr>
        <w:t>项目名称），政府采购编号</w:t>
      </w:r>
      <w:r>
        <w:rPr>
          <w:rFonts w:hint="eastAsia" w:ascii="宋体" w:hAnsi="宋体" w:cs="宋体"/>
          <w:color w:val="000000"/>
        </w:rPr>
        <w:t>：</w:t>
      </w:r>
      <w:r>
        <w:rPr>
          <w:rFonts w:hint="eastAsia" w:ascii="宋体" w:hAnsi="宋体" w:cs="宋体"/>
          <w:color w:val="000000"/>
          <w:u w:val="single"/>
        </w:rPr>
        <w:t>        </w:t>
      </w:r>
      <w:r>
        <w:rPr>
          <w:rFonts w:hint="eastAsia" w:ascii="宋体" w:hAnsi="宋体" w:cs="宋体"/>
          <w:color w:val="000000"/>
        </w:rPr>
        <w:t> </w:t>
      </w:r>
      <w:r>
        <w:rPr>
          <w:rFonts w:hint="eastAsia" w:ascii="宋体" w:hAnsi="宋体" w:cs="宋体"/>
        </w:rPr>
        <w:t>，委托代理编号</w:t>
      </w:r>
      <w:r>
        <w:rPr>
          <w:rFonts w:hint="eastAsia" w:ascii="宋体" w:hAnsi="宋体" w:cs="宋体"/>
          <w:color w:val="000000"/>
        </w:rPr>
        <w:t>：</w:t>
      </w:r>
      <w:r>
        <w:rPr>
          <w:rFonts w:hint="eastAsia" w:ascii="宋体" w:hAnsi="宋体" w:cs="宋体"/>
          <w:color w:val="000000"/>
          <w:u w:val="single"/>
        </w:rPr>
        <w:t>           </w:t>
      </w:r>
      <w:r>
        <w:rPr>
          <w:rFonts w:hint="eastAsia" w:ascii="宋体" w:hAnsi="宋体" w:cs="宋体"/>
          <w:color w:val="000000"/>
        </w:rPr>
        <w:t>]</w:t>
      </w:r>
      <w:r>
        <w:rPr>
          <w:rFonts w:hint="eastAsia" w:ascii="宋体" w:hAnsi="宋体" w:cs="宋体"/>
        </w:rPr>
        <w:t>相关内容，知悉供应商参加政府采购活动应当具备的条件。此次按《竞争性谈判邀请公告》要求提交的供应商资格证明材料，已经认真核对和检查，全部内容真实、合法、准确和完整，我们对此负责，并愿承担由此引起的法律责任。</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一、我方在此声明：</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（一）我方与采购人或采购代理机构不存在隶属关系或者其他利害关系。</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（二）我方与参加本项目的其他供应商不存在控股、关联关系，或者与其他供应商法定代表人（或者负责人）为同一人。</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（三）我方未为本项目前期准备提供设计或咨询服务。</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二、我方承诺（承诺期：成立三年以上的，为提交首次响应文件截止时间前三年内；成立不足三年的，为实际时间）：</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（一）我方依法缴纳了各项税费及各项社会保障资金，没有偷税、漏税及欠缴行为。</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（二）我方在经营活动中没有存在下列重大违法记录：</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1、受到刑事处罚；</w:t>
      </w:r>
    </w:p>
    <w:p>
      <w:pPr>
        <w:widowControl/>
        <w:spacing w:beforeAutospacing="1" w:after="100" w:afterAutospacing="1" w:line="360" w:lineRule="atLeast"/>
        <w:ind w:firstLine="500"/>
        <w:jc w:val="left"/>
        <w:rPr>
          <w:rFonts w:ascii="宋体" w:hAnsi="宋体" w:cs="宋体"/>
          <w:color w:val="000000"/>
        </w:rPr>
      </w:pPr>
      <w:r>
        <w:rPr>
          <w:rFonts w:hint="eastAsia" w:ascii="宋体" w:hAnsi="宋体" w:cs="宋体"/>
          <w:color w:val="000000"/>
        </w:rPr>
        <w:t>2、受到三万元以上的罚款、责令停产停业、在一至三年内禁止参加政府采购活动、暂扣或者吊销许可证、暂扣或者吊销执照的行政处罚。</w:t>
      </w:r>
    </w:p>
    <w:p>
      <w:pPr>
        <w:widowControl/>
        <w:spacing w:beforeAutospacing="1" w:after="100" w:afterAutospacing="1" w:line="360" w:lineRule="atLeast"/>
        <w:ind w:firstLine="420"/>
        <w:jc w:val="left"/>
        <w:rPr>
          <w:rFonts w:ascii="宋体" w:hAnsi="宋体" w:cs="宋体"/>
          <w:color w:val="000000"/>
        </w:rPr>
      </w:pPr>
      <w:r>
        <w:rPr>
          <w:rFonts w:hint="eastAsia" w:ascii="宋体" w:hAnsi="宋体" w:cs="宋体"/>
          <w:color w:val="000000"/>
        </w:rPr>
        <w:t xml:space="preserve">                                     </w:t>
      </w:r>
    </w:p>
    <w:p>
      <w:pPr>
        <w:widowControl/>
        <w:spacing w:beforeAutospacing="1" w:after="100" w:afterAutospacing="1" w:line="360" w:lineRule="atLeast"/>
        <w:ind w:firstLine="4305" w:firstLineChars="2050"/>
        <w:jc w:val="left"/>
        <w:rPr>
          <w:rFonts w:ascii="宋体" w:hAnsi="宋体" w:cs="宋体"/>
          <w:color w:val="000000"/>
        </w:rPr>
      </w:pPr>
      <w:r>
        <w:rPr>
          <w:rFonts w:hint="eastAsia" w:ascii="宋体" w:hAnsi="宋体" w:cs="宋体"/>
          <w:color w:val="000000"/>
        </w:rPr>
        <w:t>供应商名称（盖单位章）：</w:t>
      </w:r>
      <w:r>
        <w:rPr>
          <w:rFonts w:hint="eastAsia" w:ascii="宋体" w:hAnsi="宋体" w:cs="宋体"/>
          <w:color w:val="000000"/>
          <w:u w:val="single"/>
        </w:rPr>
        <w:t>      </w:t>
      </w:r>
    </w:p>
    <w:p>
      <w:pPr>
        <w:widowControl/>
        <w:spacing w:beforeAutospacing="1" w:after="100" w:afterAutospacing="1" w:line="360" w:lineRule="atLeast"/>
        <w:ind w:firstLine="4305" w:firstLineChars="2050"/>
        <w:jc w:val="left"/>
        <w:rPr>
          <w:rFonts w:ascii="宋体" w:hAnsi="宋体" w:cs="宋体"/>
          <w:color w:val="000000"/>
        </w:rPr>
      </w:pPr>
      <w:r>
        <w:rPr>
          <w:rFonts w:hint="eastAsia" w:ascii="宋体" w:hAnsi="宋体" w:cs="宋体"/>
          <w:color w:val="000000"/>
        </w:rPr>
        <w:t>法定代表人（负责人）（签名）：</w:t>
      </w:r>
      <w:r>
        <w:rPr>
          <w:rFonts w:hint="eastAsia" w:ascii="宋体" w:hAnsi="宋体" w:cs="宋体"/>
          <w:color w:val="000000"/>
          <w:u w:val="single"/>
        </w:rPr>
        <w:t>    </w:t>
      </w:r>
    </w:p>
    <w:p>
      <w:pPr>
        <w:widowControl/>
        <w:spacing w:beforeAutospacing="1" w:after="100" w:afterAutospacing="1" w:line="360" w:lineRule="atLeast"/>
        <w:ind w:firstLine="4410" w:firstLineChars="2100"/>
        <w:jc w:val="left"/>
        <w:rPr>
          <w:rFonts w:hint="eastAsia" w:ascii="宋体" w:hAnsi="宋体" w:cs="宋体"/>
          <w:b/>
          <w:bCs/>
          <w:sz w:val="28"/>
          <w:szCs w:val="28"/>
        </w:rPr>
      </w:pPr>
      <w:r>
        <w:rPr>
          <w:rFonts w:hint="eastAsia" w:ascii="宋体" w:hAnsi="宋体" w:cs="宋体"/>
          <w:color w:val="000000"/>
        </w:rPr>
        <w:t>日    期：</w:t>
      </w:r>
      <w:r>
        <w:rPr>
          <w:rFonts w:hint="eastAsia" w:ascii="宋体" w:hAnsi="宋体" w:cs="宋体"/>
          <w:color w:val="000000"/>
          <w:u w:val="single"/>
        </w:rPr>
        <w:t>    </w:t>
      </w:r>
      <w:r>
        <w:rPr>
          <w:rFonts w:hint="eastAsia" w:ascii="宋体" w:hAnsi="宋体" w:cs="宋体"/>
          <w:color w:val="000000"/>
        </w:rPr>
        <w:t>年</w:t>
      </w:r>
      <w:r>
        <w:rPr>
          <w:rFonts w:hint="eastAsia" w:ascii="宋体" w:hAnsi="宋体" w:cs="宋体"/>
          <w:color w:val="000000"/>
          <w:u w:val="single"/>
        </w:rPr>
        <w:t>   </w:t>
      </w:r>
      <w:r>
        <w:rPr>
          <w:rFonts w:hint="eastAsia" w:ascii="宋体" w:hAnsi="宋体" w:cs="宋体"/>
          <w:color w:val="000000"/>
        </w:rPr>
        <w:t>月</w:t>
      </w:r>
      <w:r>
        <w:rPr>
          <w:rFonts w:hint="eastAsia" w:ascii="宋体" w:hAnsi="宋体" w:cs="宋体"/>
          <w:color w:val="000000"/>
          <w:u w:val="single"/>
        </w:rPr>
        <w:t xml:space="preserve">   </w:t>
      </w:r>
      <w:r>
        <w:rPr>
          <w:rFonts w:hint="eastAsia" w:ascii="宋体" w:hAnsi="宋体" w:cs="宋体"/>
          <w:color w:val="000000"/>
        </w:rPr>
        <w:t>日</w:t>
      </w:r>
    </w:p>
    <w:p>
      <w:pPr>
        <w:spacing w:line="360" w:lineRule="auto"/>
        <w:rPr>
          <w:rFonts w:ascii="Times New Roman" w:hAnsi="Times New Roman" w:cs="Times New Roman"/>
          <w:b/>
          <w:bCs/>
        </w:rPr>
      </w:pPr>
      <w:r>
        <w:rPr>
          <w:rFonts w:hint="eastAsia" w:ascii="宋体" w:hAnsi="宋体" w:cs="宋体"/>
          <w:b/>
          <w:bCs/>
          <w:sz w:val="28"/>
          <w:szCs w:val="28"/>
        </w:rPr>
        <w:t>附页2</w:t>
      </w:r>
    </w:p>
    <w:p>
      <w:pPr>
        <w:spacing w:line="480" w:lineRule="auto"/>
        <w:ind w:firstLine="562"/>
        <w:jc w:val="center"/>
        <w:rPr>
          <w:rFonts w:ascii="Times New Roman" w:hAnsi="Times New Roman" w:cs="Times New Roman"/>
          <w:b/>
          <w:bCs/>
          <w:color w:val="000000" w:themeColor="text1"/>
          <w:sz w:val="28"/>
          <w:szCs w:val="28"/>
        </w:rPr>
      </w:pPr>
      <w:r>
        <w:rPr>
          <w:rFonts w:hint="eastAsia" w:ascii="宋体" w:hAnsi="宋体" w:cs="宋体"/>
          <w:b/>
          <w:bCs/>
          <w:color w:val="000000" w:themeColor="text1"/>
          <w:sz w:val="28"/>
          <w:szCs w:val="28"/>
        </w:rPr>
        <w:t>供应商资格性检查表</w:t>
      </w:r>
    </w:p>
    <w:tbl>
      <w:tblPr>
        <w:tblStyle w:val="13"/>
        <w:tblW w:w="9487" w:type="dxa"/>
        <w:tblInd w:w="-580" w:type="dxa"/>
        <w:tblLayout w:type="fixed"/>
        <w:tblCellMar>
          <w:top w:w="0" w:type="dxa"/>
          <w:left w:w="108" w:type="dxa"/>
          <w:bottom w:w="0" w:type="dxa"/>
          <w:right w:w="108" w:type="dxa"/>
        </w:tblCellMar>
      </w:tblPr>
      <w:tblGrid>
        <w:gridCol w:w="690"/>
        <w:gridCol w:w="6618"/>
        <w:gridCol w:w="728"/>
        <w:gridCol w:w="728"/>
        <w:gridCol w:w="723"/>
      </w:tblGrid>
      <w:tr>
        <w:tblPrEx>
          <w:tblLayout w:type="fixed"/>
          <w:tblCellMar>
            <w:top w:w="0" w:type="dxa"/>
            <w:left w:w="108" w:type="dxa"/>
            <w:bottom w:w="0" w:type="dxa"/>
            <w:right w:w="108" w:type="dxa"/>
          </w:tblCellMar>
        </w:tblPrEx>
        <w:tc>
          <w:tcPr>
            <w:tcW w:w="690" w:type="dxa"/>
            <w:vMerge w:val="restart"/>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rPr>
                <w:rFonts w:ascii="宋体" w:cs="Times New Roman"/>
              </w:rPr>
            </w:pPr>
            <w:r>
              <w:rPr>
                <w:rFonts w:hint="eastAsia" w:ascii="宋体" w:hAnsi="宋体" w:cs="宋体"/>
              </w:rPr>
              <w:t>序号</w:t>
            </w:r>
          </w:p>
        </w:tc>
        <w:tc>
          <w:tcPr>
            <w:tcW w:w="6618" w:type="dxa"/>
            <w:vMerge w:val="restart"/>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rPr>
            </w:pPr>
            <w:r>
              <w:rPr>
                <w:rFonts w:hint="eastAsia" w:ascii="宋体" w:hAnsi="宋体" w:cs="宋体"/>
              </w:rPr>
              <w:t>检查内容</w:t>
            </w:r>
          </w:p>
        </w:tc>
        <w:tc>
          <w:tcPr>
            <w:tcW w:w="2179" w:type="dxa"/>
            <w:gridSpan w:val="3"/>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cs="Times New Roman"/>
              </w:rPr>
            </w:pPr>
            <w:r>
              <w:rPr>
                <w:rFonts w:hint="eastAsia" w:ascii="宋体" w:hAnsi="宋体" w:cs="宋体"/>
              </w:rPr>
              <w:t>供应商</w:t>
            </w:r>
          </w:p>
        </w:tc>
      </w:tr>
      <w:tr>
        <w:tblPrEx>
          <w:tblLayout w:type="fixed"/>
          <w:tblCellMar>
            <w:top w:w="0" w:type="dxa"/>
            <w:left w:w="108" w:type="dxa"/>
            <w:bottom w:w="0" w:type="dxa"/>
            <w:right w:w="108" w:type="dxa"/>
          </w:tblCellMar>
        </w:tblPrEx>
        <w:tc>
          <w:tcPr>
            <w:tcW w:w="690" w:type="dxa"/>
            <w:vMerge w:val="continue"/>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sz w:val="22"/>
                <w:szCs w:val="22"/>
              </w:rPr>
            </w:pPr>
          </w:p>
        </w:tc>
        <w:tc>
          <w:tcPr>
            <w:tcW w:w="6618" w:type="dxa"/>
            <w:vMerge w:val="continue"/>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rPr>
                <w:rFonts w:ascii="宋体" w:cs="Times New Roman"/>
                <w:sz w:val="22"/>
                <w:szCs w:val="22"/>
              </w:rPr>
            </w:pP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r>
        <w:tblPrEx>
          <w:tblLayout w:type="fixed"/>
          <w:tblCellMar>
            <w:top w:w="0" w:type="dxa"/>
            <w:left w:w="108" w:type="dxa"/>
            <w:bottom w:w="0" w:type="dxa"/>
            <w:right w:w="108" w:type="dxa"/>
          </w:tblCellMar>
        </w:tblPrEx>
        <w:tc>
          <w:tcPr>
            <w:tcW w:w="69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cs="Times New Roman"/>
              </w:rPr>
            </w:pPr>
            <w:r>
              <w:rPr>
                <w:rFonts w:ascii="Times New Roman" w:hAnsi="Times New Roman" w:cs="Times New Roman"/>
              </w:rPr>
              <w:t>1</w:t>
            </w:r>
          </w:p>
        </w:tc>
        <w:tc>
          <w:tcPr>
            <w:tcW w:w="661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left"/>
              <w:rPr>
                <w:rFonts w:ascii="宋体" w:hAnsi="宋体" w:cs="宋体"/>
                <w:sz w:val="22"/>
                <w:szCs w:val="22"/>
              </w:rPr>
            </w:pPr>
            <w:r>
              <w:rPr>
                <w:rFonts w:hint="eastAsia" w:ascii="宋体" w:hAnsi="宋体" w:cs="宋体"/>
                <w:sz w:val="22"/>
                <w:szCs w:val="22"/>
              </w:rPr>
              <w:t>投标保证金银行转账凭据；</w:t>
            </w: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r>
        <w:tblPrEx>
          <w:tblLayout w:type="fixed"/>
          <w:tblCellMar>
            <w:top w:w="0" w:type="dxa"/>
            <w:left w:w="108" w:type="dxa"/>
            <w:bottom w:w="0" w:type="dxa"/>
            <w:right w:w="108" w:type="dxa"/>
          </w:tblCellMar>
        </w:tblPrEx>
        <w:trPr>
          <w:trHeight w:val="745" w:hRule="atLeast"/>
        </w:trPr>
        <w:tc>
          <w:tcPr>
            <w:tcW w:w="69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cs="Times New Roman"/>
              </w:rPr>
            </w:pPr>
            <w:r>
              <w:rPr>
                <w:rFonts w:ascii="Times New Roman" w:hAnsi="Times New Roman" w:cs="Times New Roman"/>
              </w:rPr>
              <w:t>2</w:t>
            </w:r>
          </w:p>
        </w:tc>
        <w:tc>
          <w:tcPr>
            <w:tcW w:w="661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left"/>
              <w:rPr>
                <w:rFonts w:ascii="宋体" w:hAnsi="宋体" w:cs="宋体"/>
                <w:sz w:val="22"/>
                <w:szCs w:val="22"/>
              </w:rPr>
            </w:pPr>
            <w:r>
              <w:rPr>
                <w:rFonts w:hint="eastAsia" w:ascii="宋体" w:hAnsi="宋体" w:cs="宋体"/>
                <w:sz w:val="22"/>
                <w:szCs w:val="22"/>
              </w:rPr>
              <w:t>法人提交法定代表人身份证明，法定代表人资格证明书或者法定代表人授权委托书并附法定代表人或委托人身份证明；</w:t>
            </w: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r>
        <w:tblPrEx>
          <w:tblLayout w:type="fixed"/>
          <w:tblCellMar>
            <w:top w:w="0" w:type="dxa"/>
            <w:left w:w="108" w:type="dxa"/>
            <w:bottom w:w="0" w:type="dxa"/>
            <w:right w:w="108" w:type="dxa"/>
          </w:tblCellMar>
        </w:tblPrEx>
        <w:trPr>
          <w:trHeight w:val="1235" w:hRule="atLeast"/>
        </w:trPr>
        <w:tc>
          <w:tcPr>
            <w:tcW w:w="69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hint="eastAsia" w:eastAsia="宋体" w:cs="Times New Roman"/>
                <w:lang w:val="en-US" w:eastAsia="zh-CN"/>
              </w:rPr>
            </w:pPr>
            <w:r>
              <w:rPr>
                <w:rFonts w:hint="eastAsia" w:cs="Times New Roman"/>
                <w:lang w:val="en-US" w:eastAsia="zh-CN"/>
              </w:rPr>
              <w:t>3</w:t>
            </w:r>
          </w:p>
        </w:tc>
        <w:tc>
          <w:tcPr>
            <w:tcW w:w="661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ascii="宋体" w:hAnsi="宋体" w:cs="宋体"/>
                <w:sz w:val="22"/>
                <w:szCs w:val="22"/>
              </w:rPr>
            </w:pPr>
            <w:r>
              <w:rPr>
                <w:rFonts w:hint="eastAsia" w:ascii="宋体" w:hAnsi="宋体" w:cs="宋体"/>
                <w:sz w:val="22"/>
                <w:szCs w:val="22"/>
              </w:rPr>
              <w:t>企业法人营业执照、组织机构代码证副本原件（供应商具有实行了“三证合一”登记制度改革的新证，视同为持有工商营业执照、组织机构代码证和税务登记证，符合基本资格条件的相关条款）；</w:t>
            </w: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r>
        <w:tblPrEx>
          <w:tblLayout w:type="fixed"/>
          <w:tblCellMar>
            <w:top w:w="0" w:type="dxa"/>
            <w:left w:w="108" w:type="dxa"/>
            <w:bottom w:w="0" w:type="dxa"/>
            <w:right w:w="108" w:type="dxa"/>
          </w:tblCellMar>
        </w:tblPrEx>
        <w:trPr>
          <w:trHeight w:val="1555" w:hRule="atLeast"/>
        </w:trPr>
        <w:tc>
          <w:tcPr>
            <w:tcW w:w="69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jc w:val="center"/>
              <w:rPr>
                <w:rFonts w:hint="eastAsia" w:eastAsia="宋体" w:cs="Times New Roman"/>
                <w:color w:val="000000" w:themeColor="text1"/>
                <w:lang w:val="en-US" w:eastAsia="zh-CN"/>
              </w:rPr>
            </w:pPr>
            <w:r>
              <w:rPr>
                <w:rFonts w:hint="eastAsia" w:cs="Times New Roman"/>
                <w:color w:val="000000" w:themeColor="text1"/>
                <w:lang w:val="en-US" w:eastAsia="zh-CN"/>
              </w:rPr>
              <w:t>4</w:t>
            </w:r>
          </w:p>
        </w:tc>
        <w:tc>
          <w:tcPr>
            <w:tcW w:w="661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both"/>
              <w:rPr>
                <w:rFonts w:ascii="宋体" w:hAnsi="宋体" w:cs="宋体"/>
                <w:color w:val="000000" w:themeColor="text1"/>
                <w:sz w:val="22"/>
                <w:szCs w:val="22"/>
              </w:rPr>
            </w:pPr>
            <w:r>
              <w:rPr>
                <w:rFonts w:hint="eastAsia" w:ascii="宋体" w:hAnsi="宋体" w:cs="宋体"/>
                <w:color w:val="000000" w:themeColor="text1"/>
                <w:sz w:val="22"/>
                <w:szCs w:val="22"/>
              </w:rPr>
              <w:t>依法缴纳的证明材料：《社会保险登记证》的复印件，或者依法缴纳社会保险费的证明（缴费凭证复印件），或者委托他人缴纳的委托代办协议和缴纳证明（收据复印件），或者法定征收机关出具的依法免缴税费的证明原件及复印件加盖单位公章。</w:t>
            </w:r>
          </w:p>
        </w:tc>
        <w:tc>
          <w:tcPr>
            <w:tcW w:w="728"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r>
        <w:tblPrEx>
          <w:tblLayout w:type="fixed"/>
          <w:tblCellMar>
            <w:top w:w="0" w:type="dxa"/>
            <w:left w:w="108" w:type="dxa"/>
            <w:bottom w:w="0" w:type="dxa"/>
            <w:right w:w="108" w:type="dxa"/>
          </w:tblCellMar>
        </w:tblPrEx>
        <w:trPr>
          <w:trHeight w:val="564" w:hRule="atLeast"/>
        </w:trPr>
        <w:tc>
          <w:tcPr>
            <w:tcW w:w="690"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jc w:val="center"/>
              <w:rPr>
                <w:rFonts w:hint="eastAsia" w:ascii="Times New Roman" w:hAnsi="Times New Roman" w:eastAsia="宋体" w:cs="Times New Roman"/>
                <w:color w:val="000000" w:themeColor="text1"/>
                <w:lang w:val="en-US" w:eastAsia="zh-CN"/>
              </w:rPr>
            </w:pPr>
            <w:r>
              <w:rPr>
                <w:rFonts w:hint="eastAsia" w:ascii="Times New Roman" w:hAnsi="Times New Roman" w:cs="Times New Roman"/>
                <w:color w:val="000000" w:themeColor="text1"/>
                <w:lang w:val="en-US" w:eastAsia="zh-CN"/>
              </w:rPr>
              <w:t>5</w:t>
            </w:r>
          </w:p>
        </w:tc>
        <w:tc>
          <w:tcPr>
            <w:tcW w:w="6618"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jc w:val="both"/>
              <w:rPr>
                <w:rFonts w:ascii="宋体" w:hAnsi="宋体" w:cs="宋体"/>
                <w:color w:val="000000" w:themeColor="text1"/>
                <w:sz w:val="22"/>
                <w:szCs w:val="22"/>
              </w:rPr>
            </w:pPr>
            <w:r>
              <w:rPr>
                <w:rFonts w:hint="eastAsia" w:ascii="宋体" w:hAnsi="宋体" w:cs="宋体"/>
                <w:color w:val="000000" w:themeColor="text1"/>
              </w:rPr>
              <w:t>供应商</w:t>
            </w:r>
            <w:r>
              <w:rPr>
                <w:rFonts w:hint="eastAsia" w:ascii="宋体" w:hAnsi="宋体" w:cs="宋体"/>
                <w:color w:val="000000" w:themeColor="text1"/>
                <w:lang w:eastAsia="zh-CN"/>
              </w:rPr>
              <w:t>应具备</w:t>
            </w:r>
            <w:r>
              <w:rPr>
                <w:rFonts w:hint="eastAsia" w:ascii="宋体" w:hAnsi="宋体" w:cs="宋体"/>
                <w:color w:val="000000" w:themeColor="text1"/>
              </w:rPr>
              <w:t>印刷经营许可证</w:t>
            </w:r>
          </w:p>
        </w:tc>
        <w:tc>
          <w:tcPr>
            <w:tcW w:w="728"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r>
        <w:tblPrEx>
          <w:tblLayout w:type="fixed"/>
          <w:tblCellMar>
            <w:top w:w="0" w:type="dxa"/>
            <w:left w:w="108" w:type="dxa"/>
            <w:bottom w:w="0" w:type="dxa"/>
            <w:right w:w="108" w:type="dxa"/>
          </w:tblCellMar>
        </w:tblPrEx>
        <w:trPr>
          <w:trHeight w:val="2072" w:hRule="atLeast"/>
        </w:trPr>
        <w:tc>
          <w:tcPr>
            <w:tcW w:w="690"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jc w:val="center"/>
              <w:rPr>
                <w:rFonts w:hint="eastAsia" w:ascii="Times New Roman" w:hAnsi="Times New Roman" w:eastAsia="宋体" w:cs="Times New Roman"/>
                <w:color w:val="000000" w:themeColor="text1"/>
                <w:lang w:val="en-US" w:eastAsia="zh-CN"/>
              </w:rPr>
            </w:pPr>
            <w:r>
              <w:rPr>
                <w:rFonts w:hint="eastAsia" w:ascii="Times New Roman" w:hAnsi="Times New Roman" w:cs="Times New Roman"/>
                <w:color w:val="000000" w:themeColor="text1"/>
                <w:lang w:val="en-US" w:eastAsia="zh-CN"/>
              </w:rPr>
              <w:t>6</w:t>
            </w:r>
          </w:p>
        </w:tc>
        <w:tc>
          <w:tcPr>
            <w:tcW w:w="6618" w:type="dxa"/>
            <w:tcBorders>
              <w:top w:val="single" w:color="auto"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both"/>
              <w:rPr>
                <w:rFonts w:hint="eastAsia" w:ascii="Times New Roman" w:hAnsi="Times New Roman" w:cs="Times New Roman"/>
                <w:color w:val="000000" w:themeColor="text1"/>
              </w:rPr>
            </w:pPr>
            <w:r>
              <w:rPr>
                <w:rFonts w:hint="eastAsia" w:ascii="宋体" w:hAnsi="宋体" w:cs="宋体"/>
              </w:rPr>
              <w:t>依据《湖南省财政厅关于做好政府采购有关信用主体标识码登记及在政府采购活动中查询使用信用记录有关问题的通知》（湘财购（2017）2号）和《关于印发&lt;岳阳市“构建诚信，惩戒失信”合作备忘录&gt;的通知》（岳市文明办联［2015］10号）精神，供应商无不良信用记录，提供在“信用中国（</w:t>
            </w:r>
            <w:r>
              <w:rPr>
                <w:rFonts w:hint="eastAsia" w:ascii="宋体" w:hAnsi="宋体" w:cs="宋体"/>
              </w:rPr>
              <w:fldChar w:fldCharType="begin"/>
            </w:r>
            <w:r>
              <w:rPr>
                <w:rFonts w:hint="eastAsia" w:ascii="宋体" w:hAnsi="宋体" w:cs="宋体"/>
              </w:rPr>
              <w:instrText xml:space="preserve"> HYPERLINK "http://www.creditchina.gov.cn/" </w:instrText>
            </w:r>
            <w:r>
              <w:rPr>
                <w:rFonts w:hint="eastAsia" w:ascii="宋体" w:hAnsi="宋体" w:cs="宋体"/>
              </w:rPr>
              <w:fldChar w:fldCharType="separate"/>
            </w:r>
            <w:r>
              <w:rPr>
                <w:rFonts w:hint="eastAsia" w:ascii="宋体" w:hAnsi="宋体" w:cs="宋体"/>
              </w:rPr>
              <w:t>www.creditchina.gov.cn</w:t>
            </w:r>
            <w:r>
              <w:rPr>
                <w:rFonts w:hint="eastAsia" w:ascii="宋体" w:hAnsi="宋体" w:cs="宋体"/>
              </w:rPr>
              <w:fldChar w:fldCharType="end"/>
            </w:r>
            <w:r>
              <w:rPr>
                <w:rFonts w:hint="eastAsia" w:ascii="宋体" w:hAnsi="宋体" w:cs="宋体"/>
              </w:rPr>
              <w:t>）”的查询复印件加盖公章</w:t>
            </w:r>
          </w:p>
        </w:tc>
        <w:tc>
          <w:tcPr>
            <w:tcW w:w="728"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jc w:val="center"/>
              <w:rPr>
                <w:rFonts w:hint="eastAsia" w:ascii="Times New Roman" w:hAnsi="Times New Roman" w:cs="Times New Roman"/>
                <w:color w:val="000000" w:themeColor="text1"/>
              </w:rPr>
            </w:pPr>
          </w:p>
        </w:tc>
        <w:tc>
          <w:tcPr>
            <w:tcW w:w="728"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jc w:val="center"/>
              <w:rPr>
                <w:rFonts w:hint="eastAsia" w:ascii="Times New Roman" w:hAnsi="Times New Roman" w:cs="Times New Roman"/>
                <w:color w:val="000000" w:themeColor="text1"/>
              </w:rPr>
            </w:pPr>
          </w:p>
        </w:tc>
        <w:tc>
          <w:tcPr>
            <w:tcW w:w="723" w:type="dxa"/>
            <w:tcBorders>
              <w:top w:val="single" w:color="auto"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pPr>
              <w:jc w:val="center"/>
              <w:rPr>
                <w:rFonts w:hint="eastAsia" w:ascii="Times New Roman" w:hAnsi="Times New Roman" w:cs="Times New Roman"/>
                <w:color w:val="000000" w:themeColor="text1"/>
              </w:rPr>
            </w:pPr>
          </w:p>
        </w:tc>
      </w:tr>
      <w:tr>
        <w:tblPrEx>
          <w:tblLayout w:type="fixed"/>
          <w:tblCellMar>
            <w:top w:w="0" w:type="dxa"/>
            <w:left w:w="108" w:type="dxa"/>
            <w:bottom w:w="0" w:type="dxa"/>
            <w:right w:w="108" w:type="dxa"/>
          </w:tblCellMar>
        </w:tblPrEx>
        <w:trPr>
          <w:trHeight w:val="832" w:hRule="atLeast"/>
        </w:trPr>
        <w:tc>
          <w:tcPr>
            <w:tcW w:w="690" w:type="dxa"/>
            <w:tcBorders>
              <w:top w:val="single" w:color="auto"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center"/>
              <w:rPr>
                <w:rFonts w:hint="eastAsia" w:ascii="Times New Roman" w:hAnsi="Times New Roman" w:eastAsia="宋体" w:cs="Times New Roman"/>
                <w:lang w:val="en-US" w:eastAsia="zh-CN"/>
              </w:rPr>
            </w:pPr>
            <w:r>
              <w:rPr>
                <w:rFonts w:hint="eastAsia" w:ascii="Times New Roman" w:hAnsi="Times New Roman" w:cs="Times New Roman"/>
                <w:lang w:val="en-US" w:eastAsia="zh-CN"/>
              </w:rPr>
              <w:t>7</w:t>
            </w:r>
          </w:p>
        </w:tc>
        <w:tc>
          <w:tcPr>
            <w:tcW w:w="661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jc w:val="left"/>
              <w:rPr>
                <w:rFonts w:ascii="宋体" w:hAnsi="宋体" w:cs="宋体"/>
                <w:sz w:val="22"/>
                <w:szCs w:val="22"/>
              </w:rPr>
            </w:pPr>
            <w:r>
              <w:rPr>
                <w:rFonts w:ascii="宋体" w:hAnsi="宋体" w:cs="宋体"/>
                <w:sz w:val="22"/>
                <w:szCs w:val="22"/>
              </w:rPr>
              <w:t>《资格证明材料承诺函》原件</w:t>
            </w:r>
          </w:p>
        </w:tc>
        <w:tc>
          <w:tcPr>
            <w:tcW w:w="728" w:type="dxa"/>
            <w:tcBorders>
              <w:top w:val="single" w:color="auto"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auto"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auto"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r>
        <w:tblPrEx>
          <w:tblLayout w:type="fixed"/>
          <w:tblCellMar>
            <w:top w:w="0" w:type="dxa"/>
            <w:left w:w="108" w:type="dxa"/>
            <w:bottom w:w="0" w:type="dxa"/>
            <w:right w:w="108" w:type="dxa"/>
          </w:tblCellMar>
        </w:tblPrEx>
        <w:trPr>
          <w:trHeight w:val="655" w:hRule="atLeast"/>
        </w:trPr>
        <w:tc>
          <w:tcPr>
            <w:tcW w:w="7308"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jc w:val="center"/>
              <w:rPr>
                <w:rFonts w:cs="Times New Roman"/>
              </w:rPr>
            </w:pPr>
            <w:r>
              <w:rPr>
                <w:rFonts w:hint="eastAsia" w:ascii="宋体" w:hAnsi="宋体" w:cs="宋体"/>
                <w:b/>
                <w:bCs/>
              </w:rPr>
              <w:t>结论（合格</w:t>
            </w:r>
            <w:r>
              <w:rPr>
                <w:rFonts w:ascii="Times New Roman" w:hAnsi="Times New Roman" w:cs="Times New Roman"/>
                <w:b/>
                <w:bCs/>
              </w:rPr>
              <w:t>/</w:t>
            </w:r>
            <w:r>
              <w:rPr>
                <w:rFonts w:hint="eastAsia" w:ascii="宋体" w:hAnsi="宋体" w:cs="宋体"/>
                <w:b/>
                <w:bCs/>
              </w:rPr>
              <w:t>不合格）</w:t>
            </w: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c>
          <w:tcPr>
            <w:tcW w:w="723"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00" w:lineRule="auto"/>
              <w:ind w:right="-246"/>
              <w:jc w:val="center"/>
              <w:rPr>
                <w:rFonts w:ascii="宋体" w:cs="Times New Roman"/>
                <w:sz w:val="22"/>
                <w:szCs w:val="22"/>
              </w:rPr>
            </w:pPr>
          </w:p>
        </w:tc>
      </w:tr>
    </w:tbl>
    <w:p>
      <w:pPr>
        <w:tabs>
          <w:tab w:val="right" w:pos="8844"/>
        </w:tabs>
        <w:spacing w:line="280" w:lineRule="auto"/>
        <w:ind w:right="28" w:firstLine="630"/>
        <w:rPr>
          <w:rFonts w:ascii="宋体" w:cs="Times New Roman"/>
        </w:rPr>
      </w:pPr>
    </w:p>
    <w:p>
      <w:pPr>
        <w:tabs>
          <w:tab w:val="right" w:pos="8844"/>
        </w:tabs>
        <w:spacing w:line="280" w:lineRule="auto"/>
        <w:ind w:right="28"/>
        <w:rPr>
          <w:rFonts w:ascii="Times New Roman" w:hAnsi="Times New Roman" w:cs="Times New Roman"/>
        </w:rPr>
      </w:pPr>
      <w:r>
        <w:rPr>
          <w:rFonts w:hint="eastAsia" w:ascii="宋体" w:hAnsi="宋体" w:cs="宋体"/>
        </w:rPr>
        <w:t>备注：</w:t>
      </w:r>
      <w:r>
        <w:rPr>
          <w:rFonts w:ascii="Times New Roman" w:hAnsi="Times New Roman" w:cs="Times New Roman"/>
        </w:rPr>
        <w:t>1</w:t>
      </w:r>
      <w:r>
        <w:rPr>
          <w:rFonts w:hint="eastAsia" w:ascii="Times New Roman" w:hAnsi="Times New Roman" w:cs="宋体"/>
        </w:rPr>
        <w:t>、达到要求的标记</w:t>
      </w:r>
      <w:r>
        <w:rPr>
          <w:rFonts w:ascii="Times New Roman" w:hAnsi="Times New Roman" w:cs="Times New Roman"/>
        </w:rPr>
        <w:t>“√”</w:t>
      </w:r>
      <w:r>
        <w:rPr>
          <w:rFonts w:hint="eastAsia" w:ascii="Times New Roman" w:hAnsi="Times New Roman" w:cs="宋体"/>
        </w:rPr>
        <w:t>，未达到的标记</w:t>
      </w:r>
      <w:r>
        <w:rPr>
          <w:rFonts w:ascii="Times New Roman" w:hAnsi="Times New Roman" w:cs="Times New Roman"/>
        </w:rPr>
        <w:t>“×”</w:t>
      </w:r>
      <w:r>
        <w:rPr>
          <w:rFonts w:hint="eastAsia" w:ascii="Times New Roman" w:hAnsi="Times New Roman" w:cs="宋体"/>
        </w:rPr>
        <w:t>并注明其理由。</w:t>
      </w:r>
    </w:p>
    <w:p>
      <w:pPr>
        <w:tabs>
          <w:tab w:val="right" w:pos="8844"/>
        </w:tabs>
        <w:spacing w:line="280" w:lineRule="auto"/>
        <w:ind w:right="28" w:firstLine="630"/>
        <w:rPr>
          <w:rFonts w:ascii="Times New Roman" w:hAnsi="Times New Roman" w:cs="Times New Roman"/>
          <w:sz w:val="26"/>
          <w:szCs w:val="26"/>
        </w:rPr>
      </w:pPr>
      <w:r>
        <w:rPr>
          <w:rFonts w:ascii="Times New Roman" w:hAnsi="Times New Roman" w:cs="Times New Roman"/>
        </w:rPr>
        <w:t>2</w:t>
      </w:r>
      <w:r>
        <w:rPr>
          <w:rFonts w:hint="eastAsia" w:ascii="Times New Roman" w:hAnsi="Times New Roman" w:cs="宋体"/>
        </w:rPr>
        <w:t>、结论填写</w:t>
      </w:r>
      <w:r>
        <w:rPr>
          <w:rFonts w:ascii="Times New Roman" w:hAnsi="Times New Roman" w:cs="Times New Roman"/>
        </w:rPr>
        <w:t>“</w:t>
      </w:r>
      <w:r>
        <w:rPr>
          <w:rFonts w:hint="eastAsia" w:ascii="Times New Roman" w:hAnsi="Times New Roman" w:cs="宋体"/>
        </w:rPr>
        <w:t>合格</w:t>
      </w:r>
      <w:r>
        <w:rPr>
          <w:rFonts w:ascii="Times New Roman" w:hAnsi="Times New Roman" w:cs="Times New Roman"/>
        </w:rPr>
        <w:t>”</w:t>
      </w:r>
      <w:r>
        <w:rPr>
          <w:rFonts w:hint="eastAsia" w:ascii="Times New Roman" w:hAnsi="Times New Roman" w:cs="宋体"/>
        </w:rPr>
        <w:t>或</w:t>
      </w:r>
      <w:r>
        <w:rPr>
          <w:rFonts w:ascii="Times New Roman" w:hAnsi="Times New Roman" w:cs="Times New Roman"/>
        </w:rPr>
        <w:t>“</w:t>
      </w:r>
      <w:r>
        <w:rPr>
          <w:rFonts w:hint="eastAsia" w:ascii="Times New Roman" w:hAnsi="Times New Roman" w:cs="宋体"/>
        </w:rPr>
        <w:t>不合格</w:t>
      </w:r>
      <w:r>
        <w:rPr>
          <w:rFonts w:ascii="Times New Roman" w:hAnsi="Times New Roman" w:cs="Times New Roman"/>
        </w:rPr>
        <w:t>”</w:t>
      </w:r>
      <w:r>
        <w:rPr>
          <w:rFonts w:hint="eastAsia" w:ascii="Times New Roman" w:hAnsi="Times New Roman" w:cs="宋体"/>
        </w:rPr>
        <w:t>。</w:t>
      </w:r>
    </w:p>
    <w:p>
      <w:pPr>
        <w:spacing w:line="280" w:lineRule="auto"/>
        <w:ind w:left="630"/>
        <w:rPr>
          <w:rFonts w:ascii="Times New Roman" w:hAnsi="Times New Roman" w:cs="Times New Roman"/>
        </w:rPr>
      </w:pPr>
      <w:r>
        <w:rPr>
          <w:rFonts w:ascii="Times New Roman" w:hAnsi="Times New Roman" w:cs="Times New Roman"/>
        </w:rPr>
        <w:t>3</w:t>
      </w:r>
      <w:r>
        <w:rPr>
          <w:rFonts w:hint="eastAsia" w:ascii="宋体" w:hAnsi="宋体" w:cs="宋体"/>
        </w:rPr>
        <w:t>、结论</w:t>
      </w:r>
      <w:r>
        <w:rPr>
          <w:rFonts w:hint="eastAsia" w:ascii="宋体" w:cs="宋体"/>
        </w:rPr>
        <w:t>“</w:t>
      </w:r>
      <w:r>
        <w:rPr>
          <w:rFonts w:hint="eastAsia" w:ascii="宋体" w:hAnsi="宋体" w:cs="宋体"/>
        </w:rPr>
        <w:t>不合格</w:t>
      </w:r>
      <w:r>
        <w:rPr>
          <w:rFonts w:hint="eastAsia" w:ascii="宋体" w:cs="宋体"/>
        </w:rPr>
        <w:t>”</w:t>
      </w:r>
      <w:r>
        <w:rPr>
          <w:rFonts w:hint="eastAsia" w:ascii="宋体" w:hAnsi="宋体" w:cs="宋体"/>
        </w:rPr>
        <w:t>的供应商不进入下一轮评议。</w:t>
      </w:r>
    </w:p>
    <w:p>
      <w:pPr>
        <w:spacing w:line="360" w:lineRule="auto"/>
        <w:rPr>
          <w:rFonts w:ascii="宋体" w:cs="Times New Roman"/>
          <w:b/>
          <w:bCs/>
          <w:sz w:val="28"/>
          <w:szCs w:val="28"/>
        </w:rPr>
      </w:pPr>
    </w:p>
    <w:p>
      <w:pPr>
        <w:spacing w:line="360" w:lineRule="auto"/>
        <w:rPr>
          <w:rFonts w:ascii="宋体" w:cs="Times New Roman"/>
          <w:b/>
          <w:bCs/>
          <w:sz w:val="28"/>
          <w:szCs w:val="28"/>
        </w:rPr>
      </w:pPr>
    </w:p>
    <w:p>
      <w:pPr>
        <w:spacing w:line="360" w:lineRule="auto"/>
        <w:rPr>
          <w:rFonts w:ascii="Times New Roman" w:hAnsi="Times New Roman" w:cs="Times New Roman"/>
          <w:b/>
          <w:bCs/>
        </w:rPr>
      </w:pPr>
      <w:r>
        <w:rPr>
          <w:rFonts w:hint="eastAsia" w:ascii="宋体" w:hAnsi="宋体" w:cs="宋体"/>
          <w:b/>
          <w:bCs/>
          <w:sz w:val="28"/>
          <w:szCs w:val="28"/>
        </w:rPr>
        <w:t>附页3</w:t>
      </w:r>
    </w:p>
    <w:p>
      <w:pPr>
        <w:spacing w:line="480" w:lineRule="auto"/>
        <w:ind w:firstLine="562"/>
        <w:jc w:val="center"/>
        <w:rPr>
          <w:rFonts w:ascii="Times New Roman" w:hAnsi="Times New Roman" w:cs="Times New Roman"/>
          <w:b/>
          <w:bCs/>
          <w:sz w:val="28"/>
          <w:szCs w:val="28"/>
        </w:rPr>
      </w:pPr>
      <w:r>
        <w:rPr>
          <w:rFonts w:hint="eastAsia" w:ascii="宋体" w:hAnsi="宋体" w:cs="宋体"/>
          <w:b/>
          <w:bCs/>
          <w:sz w:val="28"/>
          <w:szCs w:val="28"/>
        </w:rPr>
        <w:t>响应文件符合性检查表</w:t>
      </w:r>
    </w:p>
    <w:tbl>
      <w:tblPr>
        <w:tblStyle w:val="13"/>
        <w:tblW w:w="9187" w:type="dxa"/>
        <w:jc w:val="center"/>
        <w:tblInd w:w="0" w:type="dxa"/>
        <w:tblLayout w:type="fixed"/>
        <w:tblCellMar>
          <w:top w:w="0" w:type="dxa"/>
          <w:left w:w="108" w:type="dxa"/>
          <w:bottom w:w="0" w:type="dxa"/>
          <w:right w:w="108" w:type="dxa"/>
        </w:tblCellMar>
      </w:tblPr>
      <w:tblGrid>
        <w:gridCol w:w="1476"/>
        <w:gridCol w:w="2268"/>
        <w:gridCol w:w="2835"/>
        <w:gridCol w:w="1311"/>
        <w:gridCol w:w="1297"/>
      </w:tblGrid>
      <w:tr>
        <w:tblPrEx>
          <w:tblLayout w:type="fixed"/>
          <w:tblCellMar>
            <w:top w:w="0" w:type="dxa"/>
            <w:left w:w="108" w:type="dxa"/>
            <w:bottom w:w="0" w:type="dxa"/>
            <w:right w:w="108" w:type="dxa"/>
          </w:tblCellMar>
        </w:tblPrEx>
        <w:trPr>
          <w:trHeight w:val="1917" w:hRule="atLeast"/>
          <w:jc w:val="center"/>
        </w:trPr>
        <w:tc>
          <w:tcPr>
            <w:tcW w:w="1476" w:type="dxa"/>
            <w:tcBorders>
              <w:top w:val="single" w:color="000000" w:sz="4" w:space="0"/>
              <w:left w:val="single" w:color="000000" w:sz="4" w:space="0"/>
              <w:right w:val="single" w:color="000000" w:sz="4" w:space="0"/>
            </w:tcBorders>
            <w:shd w:val="clear" w:color="000000" w:fill="FFFFFF"/>
            <w:tcMar>
              <w:left w:w="108" w:type="dxa"/>
              <w:right w:w="108" w:type="dxa"/>
            </w:tcMar>
            <w:vAlign w:val="center"/>
            <mc:AlternateContent>
              <mc:Choice Requires="wpsCustomData">
                <wpsCustomData:diagonals>
                  <wpsCustomData:diagonal from="10000" to="30000">
                    <wpsCustomData:border w:val="single" w:color="000000" w:sz="4" w:space="0"/>
                  </wpsCustomData:diagonal>
                </wpsCustomData:diagonals>
              </mc:Choice>
            </mc:AlternateContent>
          </w:tcPr>
          <w:p>
            <w:pPr>
              <w:snapToGrid w:val="0"/>
              <w:spacing w:line="240" w:lineRule="auto"/>
              <w:jc w:val="center"/>
              <w:rPr>
                <w:rFonts w:ascii="宋体" w:cs="Times New Roman"/>
                <w:sz w:val="22"/>
                <w:szCs w:val="22"/>
              </w:rPr>
            </w:pPr>
          </w:p>
          <w:p>
            <w:pPr>
              <w:snapToGrid w:val="0"/>
              <w:spacing w:line="240" w:lineRule="auto"/>
              <w:jc w:val="center"/>
              <w:rPr>
                <w:rFonts w:ascii="宋体" w:cs="Times New Roman"/>
                <w:sz w:val="22"/>
                <w:szCs w:val="22"/>
              </w:rPr>
            </w:pPr>
          </w:p>
          <w:p>
            <w:pPr>
              <w:snapToGrid w:val="0"/>
              <w:spacing w:line="240" w:lineRule="auto"/>
              <w:jc w:val="center"/>
              <w:rPr>
                <w:rFonts w:ascii="宋体" w:cs="Times New Roman"/>
                <w:sz w:val="22"/>
                <w:szCs w:val="22"/>
              </w:rPr>
            </w:pPr>
          </w:p>
          <w:p>
            <w:pPr>
              <w:snapToGrid w:val="0"/>
              <w:spacing w:line="240" w:lineRule="auto"/>
              <w:jc w:val="center"/>
              <w:rPr>
                <w:rFonts w:ascii="宋体" w:cs="Times New Roman"/>
                <w:sz w:val="22"/>
                <w:szCs w:val="22"/>
              </w:rPr>
            </w:pPr>
          </w:p>
          <w:p>
            <w:pPr>
              <w:snapToGrid w:val="0"/>
              <w:spacing w:line="240" w:lineRule="auto"/>
              <w:jc w:val="center"/>
              <w:rPr>
                <w:rFonts w:ascii="宋体" w:cs="Times New Roman"/>
                <w:sz w:val="22"/>
                <w:szCs w:val="22"/>
              </w:rPr>
            </w:pPr>
          </w:p>
          <w:p>
            <w:pPr>
              <w:snapToGrid w:val="0"/>
              <w:spacing w:line="240" w:lineRule="auto"/>
              <w:jc w:val="both"/>
              <mc:AlternateContent>
                <mc:Choice Requires="wpsCustomData">
                  <wpsCustomData:diagonalParaType/>
                </mc:Choice>
              </mc:AlternateContent>
              <w:rPr>
                <w:rFonts w:hint="eastAsia" w:ascii="宋体" w:eastAsia="宋体" w:cs="Times New Roman"/>
                <w:sz w:val="22"/>
                <w:szCs w:val="22"/>
                <w:lang w:eastAsia="zh-CN"/>
              </w:rPr>
            </w:pPr>
            <w:r>
              <w:rPr>
                <w:rFonts w:hint="eastAsia" w:ascii="宋体" w:cs="Times New Roman"/>
                <w:sz w:val="22"/>
                <w:szCs w:val="22"/>
                <w:lang w:eastAsia="zh-CN"/>
              </w:rPr>
              <w:t>供应商</w:t>
            </w:r>
          </w:p>
          <w:p>
            <w:pPr>
              <w:spacing w:line="460" w:lineRule="auto"/>
              <w:jc w:val="center"/>
              <w:rPr>
                <w:rFonts w:hint="eastAsia" w:ascii="宋体" w:eastAsia="宋体" w:cs="Times New Roman"/>
                <w:sz w:val="22"/>
                <w:szCs w:val="22"/>
                <w:lang w:eastAsia="zh-CN"/>
              </w:rPr>
            </w:pPr>
            <w:r>
              <w:rPr>
                <w:rFonts w:hint="eastAsia" w:ascii="宋体" w:cs="Times New Roman"/>
                <w:sz w:val="22"/>
                <w:szCs w:val="22"/>
                <w:lang w:eastAsia="zh-CN"/>
              </w:rPr>
              <w:t>检验项目</w:t>
            </w: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widowControl/>
              <w:spacing w:line="240" w:lineRule="atLeast"/>
              <w:jc w:val="center"/>
              <w:rPr>
                <w:rFonts w:ascii="宋体" w:cs="Times New Roman"/>
                <w:sz w:val="22"/>
                <w:szCs w:val="22"/>
              </w:rPr>
            </w:pPr>
            <w:r>
              <w:rPr>
                <w:rFonts w:hint="eastAsia" w:ascii="宋体"/>
                <w:b/>
                <w:szCs w:val="21"/>
              </w:rPr>
              <w:t>1、详见采购文件“技术参数及其他要求”</w:t>
            </w:r>
            <w:r>
              <w:rPr>
                <w:rFonts w:hint="eastAsia" w:ascii="宋体"/>
                <w:szCs w:val="21"/>
              </w:rPr>
              <w:t xml:space="preserve"> （达到要求的标记√，未达到的标记×并注明其理由）</w:t>
            </w:r>
          </w:p>
        </w:tc>
        <w:tc>
          <w:tcPr>
            <w:tcW w:w="2835" w:type="dxa"/>
            <w:tcBorders>
              <w:top w:val="single" w:color="000000" w:sz="4" w:space="0"/>
              <w:left w:val="single" w:color="000000" w:sz="4" w:space="0"/>
              <w:right w:val="single" w:color="000000" w:sz="4" w:space="0"/>
            </w:tcBorders>
            <w:shd w:val="clear" w:color="000000" w:fill="FFFFFF"/>
            <w:tcMar>
              <w:left w:w="108" w:type="dxa"/>
              <w:right w:w="108" w:type="dxa"/>
            </w:tcMar>
            <w:vAlign w:val="center"/>
          </w:tcPr>
          <w:p>
            <w:pPr>
              <w:widowControl/>
              <w:spacing w:line="240" w:lineRule="atLeast"/>
              <w:jc w:val="center"/>
              <w:rPr>
                <w:rFonts w:ascii="宋体" w:cs="Times New Roman"/>
                <w:sz w:val="22"/>
                <w:szCs w:val="22"/>
              </w:rPr>
            </w:pPr>
            <w:r>
              <w:rPr>
                <w:rFonts w:hint="eastAsia" w:ascii="宋体"/>
                <w:b/>
                <w:szCs w:val="21"/>
              </w:rPr>
              <w:t>2、是否有不符合法律、法规情况</w:t>
            </w:r>
            <w:r>
              <w:rPr>
                <w:rFonts w:hint="eastAsia" w:ascii="宋体"/>
                <w:szCs w:val="21"/>
              </w:rPr>
              <w:t>（达到要求的标记√，未达到的标记×并注明其理由）</w:t>
            </w:r>
          </w:p>
        </w:tc>
        <w:tc>
          <w:tcPr>
            <w:tcW w:w="1311"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r>
              <w:rPr>
                <w:rFonts w:hint="eastAsia" w:ascii="宋体" w:hAnsi="宋体" w:cs="宋体"/>
                <w:sz w:val="22"/>
                <w:szCs w:val="22"/>
              </w:rPr>
              <w:t>结论</w:t>
            </w:r>
          </w:p>
        </w:tc>
        <w:tc>
          <w:tcPr>
            <w:tcW w:w="129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r>
              <w:rPr>
                <w:rFonts w:hint="eastAsia" w:ascii="宋体" w:hAnsi="宋体" w:cs="宋体"/>
                <w:sz w:val="22"/>
                <w:szCs w:val="22"/>
              </w:rPr>
              <w:t>备注</w:t>
            </w:r>
          </w:p>
        </w:tc>
      </w:tr>
      <w:tr>
        <w:tblPrEx>
          <w:tblLayout w:type="fixed"/>
          <w:tblCellMar>
            <w:top w:w="0" w:type="dxa"/>
            <w:left w:w="108" w:type="dxa"/>
            <w:bottom w:w="0" w:type="dxa"/>
            <w:right w:w="108" w:type="dxa"/>
          </w:tblCellMar>
        </w:tblPrEx>
        <w:trPr>
          <w:jc w:val="center"/>
        </w:trPr>
        <w:tc>
          <w:tcPr>
            <w:tcW w:w="147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2835"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rPr>
                <w:rFonts w:ascii="宋体" w:cs="Times New Roman"/>
                <w:sz w:val="22"/>
                <w:szCs w:val="22"/>
              </w:rPr>
            </w:pPr>
          </w:p>
        </w:tc>
        <w:tc>
          <w:tcPr>
            <w:tcW w:w="1311"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129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r>
      <w:tr>
        <w:tblPrEx>
          <w:tblLayout w:type="fixed"/>
          <w:tblCellMar>
            <w:top w:w="0" w:type="dxa"/>
            <w:left w:w="108" w:type="dxa"/>
            <w:bottom w:w="0" w:type="dxa"/>
            <w:right w:w="108" w:type="dxa"/>
          </w:tblCellMar>
        </w:tblPrEx>
        <w:trPr>
          <w:jc w:val="center"/>
        </w:trPr>
        <w:tc>
          <w:tcPr>
            <w:tcW w:w="147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2835"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1311"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129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r>
      <w:tr>
        <w:tblPrEx>
          <w:tblLayout w:type="fixed"/>
          <w:tblCellMar>
            <w:top w:w="0" w:type="dxa"/>
            <w:left w:w="108" w:type="dxa"/>
            <w:bottom w:w="0" w:type="dxa"/>
            <w:right w:w="108" w:type="dxa"/>
          </w:tblCellMar>
        </w:tblPrEx>
        <w:trPr>
          <w:jc w:val="center"/>
        </w:trPr>
        <w:tc>
          <w:tcPr>
            <w:tcW w:w="147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2268"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2835"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1311"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c>
          <w:tcPr>
            <w:tcW w:w="129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pPr>
              <w:spacing w:line="460" w:lineRule="auto"/>
              <w:jc w:val="center"/>
              <w:rPr>
                <w:rFonts w:ascii="宋体" w:cs="Times New Roman"/>
                <w:sz w:val="22"/>
                <w:szCs w:val="22"/>
              </w:rPr>
            </w:pPr>
          </w:p>
        </w:tc>
      </w:tr>
    </w:tbl>
    <w:p>
      <w:pPr>
        <w:tabs>
          <w:tab w:val="right" w:pos="8844"/>
        </w:tabs>
        <w:spacing w:line="280" w:lineRule="auto"/>
        <w:ind w:right="28"/>
        <w:rPr>
          <w:rFonts w:hint="eastAsia" w:ascii="Times New Roman" w:hAnsi="Times New Roman" w:cs="宋体"/>
        </w:rPr>
      </w:pPr>
    </w:p>
    <w:p>
      <w:pPr>
        <w:tabs>
          <w:tab w:val="right" w:pos="8844"/>
        </w:tabs>
        <w:spacing w:line="280" w:lineRule="auto"/>
        <w:ind w:right="28"/>
        <w:rPr>
          <w:rFonts w:ascii="宋体" w:cs="Times New Roman"/>
          <w:b/>
          <w:bCs/>
          <w:sz w:val="28"/>
          <w:szCs w:val="28"/>
        </w:rPr>
      </w:pPr>
      <w:r>
        <w:rPr>
          <w:rFonts w:hint="eastAsia" w:ascii="Times New Roman" w:hAnsi="Times New Roman" w:cs="宋体"/>
        </w:rPr>
        <w:t>注：合格的打“√”，不合格的打“</w:t>
      </w:r>
      <w:r>
        <w:rPr>
          <w:rFonts w:ascii="Arial" w:hAnsi="Arial" w:cs="Arial"/>
        </w:rPr>
        <w:t>×</w:t>
      </w:r>
      <w:r>
        <w:rPr>
          <w:rFonts w:hint="eastAsia" w:ascii="Times New Roman" w:hAnsi="Times New Roman" w:cs="宋体"/>
        </w:rPr>
        <w:t>”，结论用“合格”或“不合格”。</w:t>
      </w: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r>
        <w:rPr>
          <w:rFonts w:hint="eastAsia" w:ascii="宋体" w:hAnsi="宋体" w:cs="宋体"/>
          <w:b/>
          <w:bCs/>
          <w:sz w:val="28"/>
          <w:szCs w:val="28"/>
        </w:rPr>
        <w:t>附页</w:t>
      </w:r>
      <w:r>
        <w:rPr>
          <w:rFonts w:hint="eastAsia" w:ascii="宋体" w:hAnsi="宋体" w:cs="宋体"/>
          <w:b/>
          <w:bCs/>
          <w:sz w:val="28"/>
          <w:szCs w:val="28"/>
          <w:lang w:val="en-US" w:eastAsia="zh-CN"/>
        </w:rPr>
        <w:t>4</w:t>
      </w:r>
    </w:p>
    <w:p>
      <w:pPr>
        <w:adjustRightInd w:val="0"/>
        <w:snapToGrid w:val="0"/>
        <w:spacing w:line="360" w:lineRule="auto"/>
        <w:jc w:val="center"/>
        <w:rPr>
          <w:rFonts w:hint="eastAsia" w:ascii="宋体" w:hAnsi="宋体"/>
          <w:b/>
          <w:bCs/>
          <w:sz w:val="28"/>
          <w:szCs w:val="28"/>
        </w:rPr>
      </w:pPr>
      <w:r>
        <w:rPr>
          <w:rFonts w:hint="eastAsia" w:ascii="宋体" w:hAnsi="宋体" w:cs="宋体"/>
          <w:b/>
          <w:bCs/>
          <w:kern w:val="0"/>
          <w:sz w:val="28"/>
          <w:szCs w:val="28"/>
        </w:rPr>
        <w:t>湖南省政府采购支持中小企业融资合作银行及联系人名单</w:t>
      </w:r>
    </w:p>
    <w:tbl>
      <w:tblPr>
        <w:tblStyle w:val="13"/>
        <w:tblW w:w="8227" w:type="dxa"/>
        <w:jc w:val="center"/>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2259"/>
        <w:gridCol w:w="2183"/>
        <w:gridCol w:w="1986"/>
        <w:gridCol w:w="1799"/>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807" w:hRule="atLeast"/>
          <w:jc w:val="center"/>
        </w:trPr>
        <w:tc>
          <w:tcPr>
            <w:tcW w:w="8227" w:type="dxa"/>
            <w:gridSpan w:val="4"/>
            <w:tcBorders>
              <w:top w:val="double" w:color="auto" w:sz="4" w:space="0"/>
              <w:bottom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岳阳市政府采购支持中小企业融资合作银行及联系人名单：</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278" w:hRule="atLeast"/>
          <w:jc w:val="center"/>
        </w:trPr>
        <w:tc>
          <w:tcPr>
            <w:tcW w:w="2259" w:type="dxa"/>
            <w:tcBorders>
              <w:top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信用担保机构</w:t>
            </w:r>
          </w:p>
        </w:tc>
        <w:tc>
          <w:tcPr>
            <w:tcW w:w="218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联系人</w:t>
            </w:r>
          </w:p>
        </w:tc>
        <w:tc>
          <w:tcPr>
            <w:tcW w:w="19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职 务</w:t>
            </w:r>
          </w:p>
        </w:tc>
        <w:tc>
          <w:tcPr>
            <w:tcW w:w="1799" w:type="dxa"/>
            <w:tcBorders>
              <w:top w:val="single" w:color="auto" w:sz="4" w:space="0"/>
              <w:left w:val="single" w:color="auto" w:sz="4" w:space="0"/>
              <w:bottom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联系电话</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83" w:hRule="atLeast"/>
          <w:jc w:val="center"/>
        </w:trPr>
        <w:tc>
          <w:tcPr>
            <w:tcW w:w="2259" w:type="dxa"/>
            <w:vMerge w:val="restart"/>
            <w:tcBorders>
              <w:top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华融湘江银行岳阳分行财源支行咨询（电话：0730-8852901）或登陆湖南省政府采购网查询。</w:t>
            </w:r>
          </w:p>
        </w:tc>
        <w:tc>
          <w:tcPr>
            <w:tcW w:w="218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李莅</w:t>
            </w:r>
          </w:p>
        </w:tc>
        <w:tc>
          <w:tcPr>
            <w:tcW w:w="19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财源支行行长</w:t>
            </w:r>
          </w:p>
        </w:tc>
        <w:tc>
          <w:tcPr>
            <w:tcW w:w="1799" w:type="dxa"/>
            <w:tcBorders>
              <w:top w:val="single" w:color="auto" w:sz="4" w:space="0"/>
              <w:left w:val="single" w:color="auto" w:sz="4" w:space="0"/>
              <w:bottom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13874998873</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67" w:hRule="atLeast"/>
          <w:jc w:val="center"/>
        </w:trPr>
        <w:tc>
          <w:tcPr>
            <w:tcW w:w="2259" w:type="dxa"/>
            <w:vMerge w:val="continue"/>
            <w:tcBorders>
              <w:right w:val="single" w:color="auto" w:sz="4" w:space="0"/>
            </w:tcBorders>
            <w:vAlign w:val="center"/>
          </w:tcPr>
          <w:p>
            <w:pPr>
              <w:adjustRightInd w:val="0"/>
              <w:snapToGrid w:val="0"/>
              <w:spacing w:before="156" w:beforeLines="50" w:line="360" w:lineRule="auto"/>
              <w:jc w:val="center"/>
              <w:rPr>
                <w:rFonts w:hint="eastAsia" w:ascii="宋体" w:hAnsi="宋体"/>
                <w:szCs w:val="21"/>
              </w:rPr>
            </w:pPr>
          </w:p>
        </w:tc>
        <w:tc>
          <w:tcPr>
            <w:tcW w:w="218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孙永恒</w:t>
            </w:r>
          </w:p>
        </w:tc>
        <w:tc>
          <w:tcPr>
            <w:tcW w:w="19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客服经理</w:t>
            </w:r>
          </w:p>
        </w:tc>
        <w:tc>
          <w:tcPr>
            <w:tcW w:w="1799" w:type="dxa"/>
            <w:tcBorders>
              <w:top w:val="single" w:color="auto" w:sz="4" w:space="0"/>
              <w:left w:val="single" w:color="auto" w:sz="4" w:space="0"/>
              <w:bottom w:val="single" w:color="auto" w:sz="4" w:space="0"/>
            </w:tcBorders>
            <w:vAlign w:val="center"/>
          </w:tcPr>
          <w:p>
            <w:pPr>
              <w:widowControl/>
              <w:adjustRightInd w:val="0"/>
              <w:snapToGrid w:val="0"/>
              <w:spacing w:before="156" w:beforeLines="50" w:line="360" w:lineRule="auto"/>
              <w:jc w:val="center"/>
              <w:rPr>
                <w:rFonts w:hint="eastAsia" w:ascii="宋体" w:hAnsi="宋体"/>
                <w:szCs w:val="21"/>
              </w:rPr>
            </w:pPr>
            <w:r>
              <w:rPr>
                <w:rFonts w:hint="eastAsia" w:ascii="宋体" w:hAnsi="宋体"/>
                <w:szCs w:val="21"/>
              </w:rPr>
              <w:t>13807300518</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95" w:hRule="atLeast"/>
          <w:jc w:val="center"/>
        </w:trPr>
        <w:tc>
          <w:tcPr>
            <w:tcW w:w="2259" w:type="dxa"/>
            <w:vMerge w:val="continue"/>
            <w:tcBorders>
              <w:right w:val="single" w:color="auto" w:sz="4" w:space="0"/>
            </w:tcBorders>
            <w:vAlign w:val="center"/>
          </w:tcPr>
          <w:p>
            <w:pPr>
              <w:adjustRightInd w:val="0"/>
              <w:snapToGrid w:val="0"/>
              <w:spacing w:before="156" w:beforeLines="50" w:line="360" w:lineRule="auto"/>
              <w:jc w:val="center"/>
              <w:rPr>
                <w:rFonts w:hint="eastAsia" w:ascii="宋体" w:hAnsi="宋体"/>
                <w:szCs w:val="21"/>
              </w:rPr>
            </w:pPr>
          </w:p>
        </w:tc>
        <w:tc>
          <w:tcPr>
            <w:tcW w:w="218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李建湘</w:t>
            </w:r>
          </w:p>
        </w:tc>
        <w:tc>
          <w:tcPr>
            <w:tcW w:w="19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客服经理</w:t>
            </w:r>
          </w:p>
        </w:tc>
        <w:tc>
          <w:tcPr>
            <w:tcW w:w="1799" w:type="dxa"/>
            <w:tcBorders>
              <w:top w:val="single" w:color="auto" w:sz="4" w:space="0"/>
              <w:left w:val="single" w:color="auto" w:sz="4" w:space="0"/>
              <w:bottom w:val="single" w:color="auto" w:sz="4" w:space="0"/>
            </w:tcBorders>
            <w:vAlign w:val="center"/>
          </w:tcPr>
          <w:p>
            <w:pPr>
              <w:widowControl/>
              <w:adjustRightInd w:val="0"/>
              <w:snapToGrid w:val="0"/>
              <w:spacing w:before="156" w:beforeLines="50" w:line="360" w:lineRule="auto"/>
              <w:jc w:val="center"/>
              <w:rPr>
                <w:rFonts w:hint="eastAsia" w:ascii="宋体" w:hAnsi="宋体"/>
                <w:szCs w:val="21"/>
              </w:rPr>
            </w:pPr>
            <w:r>
              <w:rPr>
                <w:rFonts w:hint="eastAsia" w:ascii="宋体" w:hAnsi="宋体"/>
                <w:szCs w:val="21"/>
              </w:rPr>
              <w:t>15973018898</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95" w:hRule="atLeast"/>
          <w:jc w:val="center"/>
        </w:trPr>
        <w:tc>
          <w:tcPr>
            <w:tcW w:w="2259" w:type="dxa"/>
            <w:vMerge w:val="continue"/>
            <w:tcBorders>
              <w:bottom w:val="doub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p>
        </w:tc>
        <w:tc>
          <w:tcPr>
            <w:tcW w:w="2183" w:type="dxa"/>
            <w:tcBorders>
              <w:top w:val="single" w:color="auto" w:sz="4" w:space="0"/>
              <w:left w:val="single" w:color="auto" w:sz="4" w:space="0"/>
              <w:bottom w:val="doub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季芳</w:t>
            </w:r>
          </w:p>
        </w:tc>
        <w:tc>
          <w:tcPr>
            <w:tcW w:w="1986" w:type="dxa"/>
            <w:tcBorders>
              <w:top w:val="single" w:color="auto" w:sz="4" w:space="0"/>
              <w:left w:val="single" w:color="auto" w:sz="4" w:space="0"/>
              <w:bottom w:val="double" w:color="auto" w:sz="4" w:space="0"/>
              <w:right w:val="single" w:color="auto" w:sz="4" w:space="0"/>
            </w:tcBorders>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分行中小企业金融服务中心</w:t>
            </w:r>
          </w:p>
        </w:tc>
        <w:tc>
          <w:tcPr>
            <w:tcW w:w="1799" w:type="dxa"/>
            <w:tcBorders>
              <w:top w:val="single" w:color="auto" w:sz="4" w:space="0"/>
              <w:left w:val="single" w:color="auto" w:sz="4" w:space="0"/>
              <w:bottom w:val="double" w:color="auto" w:sz="4" w:space="0"/>
            </w:tcBorders>
            <w:vAlign w:val="center"/>
          </w:tcPr>
          <w:p>
            <w:pPr>
              <w:widowControl/>
              <w:adjustRightInd w:val="0"/>
              <w:snapToGrid w:val="0"/>
              <w:spacing w:before="156" w:beforeLines="50" w:line="360" w:lineRule="auto"/>
              <w:jc w:val="center"/>
              <w:rPr>
                <w:rFonts w:hint="eastAsia" w:ascii="宋体" w:hAnsi="宋体"/>
                <w:szCs w:val="21"/>
              </w:rPr>
            </w:pPr>
            <w:r>
              <w:rPr>
                <w:rFonts w:hint="eastAsia" w:ascii="宋体" w:hAnsi="宋体"/>
                <w:szCs w:val="21"/>
              </w:rPr>
              <w:t>13307302811</w:t>
            </w:r>
          </w:p>
        </w:tc>
      </w:tr>
    </w:tbl>
    <w:p>
      <w:pPr>
        <w:adjustRightInd w:val="0"/>
        <w:snapToGrid w:val="0"/>
        <w:spacing w:line="360" w:lineRule="auto"/>
        <w:rPr>
          <w:rFonts w:hint="eastAsia" w:ascii="宋体" w:hAnsi="宋体"/>
          <w:b/>
          <w:bCs/>
          <w:szCs w:val="21"/>
        </w:rPr>
      </w:pPr>
    </w:p>
    <w:p>
      <w:pPr>
        <w:adjustRightInd w:val="0"/>
        <w:snapToGrid w:val="0"/>
        <w:spacing w:line="360" w:lineRule="auto"/>
        <w:rPr>
          <w:rFonts w:hint="eastAsia" w:ascii="宋体" w:hAnsi="宋体"/>
          <w:b/>
          <w:bCs/>
          <w:szCs w:val="21"/>
        </w:rPr>
      </w:pPr>
    </w:p>
    <w:p>
      <w:pPr>
        <w:adjustRightInd w:val="0"/>
        <w:snapToGrid w:val="0"/>
        <w:spacing w:line="360" w:lineRule="auto"/>
        <w:rPr>
          <w:rFonts w:hint="eastAsia" w:ascii="宋体" w:hAnsi="宋体"/>
          <w:b/>
          <w:bCs/>
          <w:szCs w:val="21"/>
        </w:rPr>
      </w:pPr>
    </w:p>
    <w:p>
      <w:pPr>
        <w:adjustRightInd w:val="0"/>
        <w:snapToGrid w:val="0"/>
        <w:spacing w:line="360" w:lineRule="auto"/>
        <w:rPr>
          <w:rFonts w:hint="eastAsia" w:ascii="宋体" w:hAnsi="宋体"/>
          <w:b/>
          <w:bCs/>
          <w:szCs w:val="21"/>
        </w:rPr>
      </w:pPr>
    </w:p>
    <w:p>
      <w:pPr>
        <w:spacing w:line="360" w:lineRule="auto"/>
        <w:rPr>
          <w:rFonts w:hint="eastAsia" w:ascii="宋体" w:hAnsi="宋体" w:cs="宋体"/>
          <w:b/>
          <w:bCs/>
          <w:sz w:val="28"/>
          <w:szCs w:val="28"/>
        </w:rPr>
      </w:pPr>
      <w:r>
        <w:rPr>
          <w:rFonts w:hint="eastAsia" w:ascii="宋体" w:hAnsi="宋体" w:cs="宋体"/>
          <w:b/>
          <w:bCs/>
          <w:sz w:val="28"/>
          <w:szCs w:val="28"/>
        </w:rPr>
        <w:t>附页</w:t>
      </w:r>
      <w:r>
        <w:rPr>
          <w:rFonts w:hint="eastAsia" w:ascii="宋体" w:hAnsi="宋体" w:cs="宋体"/>
          <w:b/>
          <w:bCs/>
          <w:sz w:val="28"/>
          <w:szCs w:val="28"/>
          <w:lang w:val="en-US" w:eastAsia="zh-CN"/>
        </w:rPr>
        <w:t>5</w:t>
      </w:r>
    </w:p>
    <w:p>
      <w:pPr>
        <w:adjustRightInd w:val="0"/>
        <w:snapToGrid w:val="0"/>
        <w:spacing w:line="360" w:lineRule="auto"/>
        <w:jc w:val="center"/>
        <w:rPr>
          <w:rFonts w:hint="eastAsia" w:ascii="宋体" w:hAnsi="宋体"/>
          <w:b/>
          <w:bCs/>
          <w:sz w:val="28"/>
          <w:szCs w:val="28"/>
        </w:rPr>
      </w:pPr>
      <w:r>
        <w:rPr>
          <w:rFonts w:hint="eastAsia" w:ascii="宋体" w:hAnsi="宋体" w:cs="宋体"/>
          <w:b/>
          <w:bCs/>
          <w:kern w:val="0"/>
          <w:sz w:val="28"/>
          <w:szCs w:val="28"/>
        </w:rPr>
        <w:t>湖南省政府采购信用担保试点工作的</w:t>
      </w:r>
      <w:r>
        <w:rPr>
          <w:rFonts w:hint="eastAsia" w:ascii="宋体" w:hAnsi="宋体"/>
          <w:b/>
          <w:sz w:val="28"/>
          <w:szCs w:val="28"/>
        </w:rPr>
        <w:t>信用担保机构名单</w:t>
      </w:r>
    </w:p>
    <w:tbl>
      <w:tblPr>
        <w:tblStyle w:val="13"/>
        <w:tblW w:w="8350" w:type="dxa"/>
        <w:jc w:val="center"/>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3930"/>
        <w:gridCol w:w="982"/>
        <w:gridCol w:w="3438"/>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435" w:hRule="atLeast"/>
          <w:jc w:val="center"/>
        </w:trPr>
        <w:tc>
          <w:tcPr>
            <w:tcW w:w="3930" w:type="dxa"/>
            <w:vAlign w:val="center"/>
          </w:tcPr>
          <w:p>
            <w:pPr>
              <w:adjustRightInd w:val="0"/>
              <w:snapToGrid w:val="0"/>
              <w:spacing w:before="156" w:beforeLines="50" w:line="360" w:lineRule="auto"/>
              <w:jc w:val="center"/>
              <w:rPr>
                <w:rFonts w:hint="eastAsia" w:ascii="宋体" w:hAnsi="宋体" w:cs="宋体"/>
                <w:bCs/>
                <w:kern w:val="0"/>
                <w:sz w:val="18"/>
                <w:szCs w:val="18"/>
              </w:rPr>
            </w:pPr>
            <w:r>
              <w:rPr>
                <w:rFonts w:hint="eastAsia" w:ascii="宋体" w:hAnsi="宋体"/>
                <w:sz w:val="18"/>
                <w:szCs w:val="18"/>
              </w:rPr>
              <w:t>信用担保机构</w:t>
            </w:r>
          </w:p>
        </w:tc>
        <w:tc>
          <w:tcPr>
            <w:tcW w:w="982" w:type="dxa"/>
            <w:vAlign w:val="center"/>
          </w:tcPr>
          <w:p>
            <w:pPr>
              <w:adjustRightInd w:val="0"/>
              <w:snapToGrid w:val="0"/>
              <w:spacing w:before="156" w:beforeLines="50" w:line="360" w:lineRule="auto"/>
              <w:jc w:val="center"/>
              <w:rPr>
                <w:rFonts w:hint="eastAsia" w:ascii="宋体" w:hAnsi="宋体" w:cs="宋体"/>
                <w:bCs/>
                <w:kern w:val="0"/>
                <w:sz w:val="18"/>
                <w:szCs w:val="18"/>
              </w:rPr>
            </w:pPr>
            <w:r>
              <w:rPr>
                <w:rFonts w:hint="eastAsia" w:ascii="宋体" w:hAnsi="宋体"/>
                <w:sz w:val="18"/>
                <w:szCs w:val="18"/>
              </w:rPr>
              <w:t>联系人</w:t>
            </w:r>
          </w:p>
        </w:tc>
        <w:tc>
          <w:tcPr>
            <w:tcW w:w="3438" w:type="dxa"/>
            <w:vAlign w:val="center"/>
          </w:tcPr>
          <w:p>
            <w:pPr>
              <w:adjustRightInd w:val="0"/>
              <w:snapToGrid w:val="0"/>
              <w:spacing w:before="156" w:beforeLines="50" w:line="360" w:lineRule="auto"/>
              <w:jc w:val="center"/>
              <w:rPr>
                <w:rFonts w:hint="eastAsia" w:ascii="宋体" w:hAnsi="宋体" w:cs="宋体"/>
                <w:bCs/>
                <w:kern w:val="0"/>
                <w:sz w:val="18"/>
                <w:szCs w:val="18"/>
              </w:rPr>
            </w:pPr>
            <w:r>
              <w:rPr>
                <w:rFonts w:hint="eastAsia" w:ascii="宋体" w:hAnsi="宋体"/>
                <w:sz w:val="18"/>
                <w:szCs w:val="18"/>
              </w:rPr>
              <w:t>联系电话</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94" w:hRule="atLeast"/>
          <w:jc w:val="center"/>
        </w:trPr>
        <w:tc>
          <w:tcPr>
            <w:tcW w:w="3930"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中国投资担保公司</w:t>
            </w:r>
          </w:p>
        </w:tc>
        <w:tc>
          <w:tcPr>
            <w:tcW w:w="982"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何嘉</w:t>
            </w:r>
          </w:p>
        </w:tc>
        <w:tc>
          <w:tcPr>
            <w:tcW w:w="3438"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010-88822659/13718642233</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36" w:hRule="atLeast"/>
          <w:jc w:val="center"/>
        </w:trPr>
        <w:tc>
          <w:tcPr>
            <w:tcW w:w="3930"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湖南省中小企业信用担保有限责任公司</w:t>
            </w:r>
          </w:p>
        </w:tc>
        <w:tc>
          <w:tcPr>
            <w:tcW w:w="982"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蔡建雄</w:t>
            </w:r>
          </w:p>
        </w:tc>
        <w:tc>
          <w:tcPr>
            <w:tcW w:w="3438"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0731-84172390-201/15573193555</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156" w:hRule="atLeast"/>
          <w:jc w:val="center"/>
        </w:trPr>
        <w:tc>
          <w:tcPr>
            <w:tcW w:w="3930"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湖南农业信用担保有限公司</w:t>
            </w:r>
          </w:p>
        </w:tc>
        <w:tc>
          <w:tcPr>
            <w:tcW w:w="982"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彭球</w:t>
            </w:r>
          </w:p>
          <w:p>
            <w:pPr>
              <w:adjustRightInd w:val="0"/>
              <w:snapToGrid w:val="0"/>
              <w:spacing w:before="156" w:beforeLines="50" w:line="360" w:lineRule="auto"/>
              <w:jc w:val="center"/>
              <w:rPr>
                <w:rFonts w:hint="eastAsia" w:ascii="宋体" w:hAnsi="宋体"/>
                <w:szCs w:val="21"/>
              </w:rPr>
            </w:pPr>
            <w:r>
              <w:rPr>
                <w:rFonts w:hint="eastAsia" w:ascii="宋体" w:hAnsi="宋体"/>
                <w:szCs w:val="21"/>
              </w:rPr>
              <w:t>邓霞英</w:t>
            </w:r>
          </w:p>
        </w:tc>
        <w:tc>
          <w:tcPr>
            <w:tcW w:w="3438" w:type="dxa"/>
            <w:vAlign w:val="center"/>
          </w:tcPr>
          <w:p>
            <w:pPr>
              <w:adjustRightInd w:val="0"/>
              <w:snapToGrid w:val="0"/>
              <w:spacing w:before="156" w:beforeLines="50" w:line="360" w:lineRule="auto"/>
              <w:jc w:val="center"/>
              <w:rPr>
                <w:rFonts w:hint="eastAsia" w:ascii="宋体" w:hAnsi="宋体"/>
                <w:szCs w:val="21"/>
              </w:rPr>
            </w:pPr>
            <w:r>
              <w:rPr>
                <w:rFonts w:hint="eastAsia" w:ascii="宋体" w:hAnsi="宋体"/>
                <w:szCs w:val="21"/>
              </w:rPr>
              <w:t>0731-89761702/13875980906 0731-89761706/13574125851</w:t>
            </w:r>
          </w:p>
        </w:tc>
      </w:tr>
    </w:tbl>
    <w:p>
      <w:pPr>
        <w:adjustRightInd w:val="0"/>
        <w:snapToGrid w:val="0"/>
        <w:spacing w:line="360" w:lineRule="auto"/>
        <w:rPr>
          <w:rFonts w:ascii="宋体" w:hAnsi="宋体"/>
          <w:b/>
          <w:bCs/>
          <w:szCs w:val="21"/>
        </w:rPr>
      </w:pPr>
    </w:p>
    <w:p>
      <w:pPr>
        <w:spacing w:line="360" w:lineRule="auto"/>
        <w:rPr>
          <w:rFonts w:ascii="宋体" w:cs="Times New Roman"/>
          <w:b/>
          <w:bCs/>
          <w:sz w:val="28"/>
          <w:szCs w:val="28"/>
        </w:rPr>
      </w:pPr>
      <w:r>
        <w:rPr>
          <w:rFonts w:hint="eastAsia" w:ascii="宋体" w:hAnsi="宋体" w:cs="宋体"/>
          <w:b/>
          <w:bCs/>
          <w:sz w:val="28"/>
          <w:szCs w:val="28"/>
        </w:rPr>
        <w:t>附页</w:t>
      </w:r>
      <w:r>
        <w:rPr>
          <w:rFonts w:hint="eastAsia" w:ascii="宋体" w:hAnsi="宋体" w:cs="宋体"/>
          <w:b/>
          <w:bCs/>
          <w:sz w:val="28"/>
          <w:szCs w:val="28"/>
          <w:lang w:val="en-US" w:eastAsia="zh-CN"/>
        </w:rPr>
        <w:t>6</w:t>
      </w:r>
    </w:p>
    <w:p>
      <w:pPr>
        <w:spacing w:line="360" w:lineRule="auto"/>
        <w:jc w:val="center"/>
        <w:rPr>
          <w:rFonts w:ascii="宋体" w:cs="Times New Roman"/>
          <w:b/>
          <w:bCs/>
          <w:sz w:val="28"/>
          <w:szCs w:val="28"/>
        </w:rPr>
      </w:pPr>
      <w:r>
        <w:rPr>
          <w:rFonts w:hint="eastAsia" w:ascii="宋体" w:hAnsi="宋体" w:cs="宋体"/>
          <w:b/>
          <w:bCs/>
          <w:sz w:val="28"/>
          <w:szCs w:val="28"/>
        </w:rPr>
        <w:t>招标代理服务费收取标准</w:t>
      </w:r>
    </w:p>
    <w:tbl>
      <w:tblPr>
        <w:tblStyle w:val="13"/>
        <w:tblW w:w="8640" w:type="dxa"/>
        <w:tblInd w:w="-106" w:type="dxa"/>
        <w:tblLayout w:type="fixed"/>
        <w:tblCellMar>
          <w:top w:w="0" w:type="dxa"/>
          <w:left w:w="108" w:type="dxa"/>
          <w:bottom w:w="0" w:type="dxa"/>
          <w:right w:w="108" w:type="dxa"/>
        </w:tblCellMar>
      </w:tblPr>
      <w:tblGrid>
        <w:gridCol w:w="1980"/>
        <w:gridCol w:w="1260"/>
        <w:gridCol w:w="5400"/>
      </w:tblGrid>
      <w:tr>
        <w:tblPrEx>
          <w:tblLayout w:type="fixed"/>
          <w:tblCellMar>
            <w:top w:w="0" w:type="dxa"/>
            <w:left w:w="108" w:type="dxa"/>
            <w:bottom w:w="0" w:type="dxa"/>
            <w:right w:w="108" w:type="dxa"/>
          </w:tblCellMar>
        </w:tblPrEx>
        <w:tc>
          <w:tcPr>
            <w:tcW w:w="198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b/>
                <w:bCs/>
              </w:rPr>
              <w:t>中标金额（万元）</w:t>
            </w:r>
          </w:p>
        </w:tc>
        <w:tc>
          <w:tcPr>
            <w:tcW w:w="126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b/>
                <w:bCs/>
                <w:lang w:eastAsia="zh-CN"/>
              </w:rPr>
              <w:t>货物</w:t>
            </w:r>
            <w:r>
              <w:rPr>
                <w:rFonts w:hint="eastAsia" w:ascii="宋体" w:hAnsi="宋体" w:cs="宋体"/>
                <w:b/>
                <w:bCs/>
              </w:rPr>
              <w:t>招标</w:t>
            </w:r>
          </w:p>
        </w:tc>
        <w:tc>
          <w:tcPr>
            <w:tcW w:w="5400" w:type="dxa"/>
            <w:tcBorders>
              <w:top w:val="single" w:color="000000" w:sz="4" w:space="0"/>
              <w:left w:val="single" w:color="000000" w:sz="6" w:space="0"/>
              <w:bottom w:val="single" w:color="000000" w:sz="4" w:space="0"/>
              <w:right w:val="single" w:color="000000" w:sz="4" w:space="0"/>
            </w:tcBorders>
            <w:shd w:val="clear" w:color="000000" w:fill="FFFFFF"/>
            <w:tcMar>
              <w:left w:w="108" w:type="dxa"/>
              <w:right w:w="108" w:type="dxa"/>
            </w:tcMar>
          </w:tcPr>
          <w:p>
            <w:pPr>
              <w:spacing w:line="360" w:lineRule="auto"/>
              <w:jc w:val="center"/>
              <w:rPr>
                <w:rFonts w:ascii="宋体" w:cs="Times New Roman"/>
              </w:rPr>
            </w:pPr>
            <w:r>
              <w:rPr>
                <w:rFonts w:hint="eastAsia" w:ascii="宋体" w:hAnsi="宋体" w:cs="宋体"/>
                <w:b/>
                <w:bCs/>
              </w:rPr>
              <w:t>备注</w:t>
            </w:r>
          </w:p>
        </w:tc>
      </w:tr>
      <w:tr>
        <w:tblPrEx>
          <w:tblLayout w:type="fixed"/>
          <w:tblCellMar>
            <w:top w:w="0" w:type="dxa"/>
            <w:left w:w="108" w:type="dxa"/>
            <w:bottom w:w="0" w:type="dxa"/>
            <w:right w:w="108" w:type="dxa"/>
          </w:tblCellMar>
        </w:tblPrEx>
        <w:tc>
          <w:tcPr>
            <w:tcW w:w="198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100</w:t>
            </w:r>
            <w:r>
              <w:rPr>
                <w:rFonts w:hint="eastAsia" w:ascii="宋体" w:hAnsi="宋体" w:cs="宋体"/>
              </w:rPr>
              <w:t>以下</w:t>
            </w:r>
          </w:p>
        </w:tc>
        <w:tc>
          <w:tcPr>
            <w:tcW w:w="126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1.5%</w:t>
            </w:r>
          </w:p>
        </w:tc>
        <w:tc>
          <w:tcPr>
            <w:tcW w:w="5400" w:type="dxa"/>
            <w:vMerge w:val="restart"/>
            <w:tcBorders>
              <w:top w:val="single" w:color="000000" w:sz="4" w:space="0"/>
              <w:left w:val="single" w:color="000000" w:sz="6" w:space="0"/>
              <w:bottom w:val="single" w:color="000000" w:sz="4" w:space="0"/>
              <w:right w:val="single" w:color="000000" w:sz="4" w:space="0"/>
            </w:tcBorders>
            <w:shd w:val="clear" w:color="000000" w:fill="FFFFFF"/>
            <w:tcMar>
              <w:left w:w="108" w:type="dxa"/>
              <w:right w:w="108" w:type="dxa"/>
            </w:tcMar>
          </w:tcPr>
          <w:p>
            <w:pPr>
              <w:spacing w:line="360" w:lineRule="auto"/>
              <w:ind w:right="26"/>
              <w:rPr>
                <w:rFonts w:ascii="宋体" w:cs="Times New Roman"/>
              </w:rPr>
            </w:pPr>
            <w:r>
              <w:rPr>
                <w:rFonts w:hint="eastAsia" w:ascii="宋体" w:hAnsi="宋体" w:cs="宋体"/>
              </w:rPr>
              <w:t>招标代理服务收费按差额定率累进法计算。例如：某</w:t>
            </w:r>
            <w:r>
              <w:rPr>
                <w:rFonts w:hint="eastAsia" w:ascii="宋体" w:hAnsi="宋体" w:cs="宋体"/>
                <w:lang w:val="en-US" w:eastAsia="zh-CN"/>
              </w:rPr>
              <w:t>货物</w:t>
            </w:r>
            <w:r>
              <w:rPr>
                <w:rFonts w:hint="eastAsia" w:ascii="宋体" w:hAnsi="宋体" w:cs="宋体"/>
              </w:rPr>
              <w:t>招标代理业务</w:t>
            </w:r>
            <w:r>
              <w:rPr>
                <w:rFonts w:hint="eastAsia" w:ascii="宋体" w:hAnsi="宋体" w:cs="宋体"/>
                <w:lang w:eastAsia="zh-CN"/>
              </w:rPr>
              <w:t>中标</w:t>
            </w:r>
            <w:r>
              <w:rPr>
                <w:rFonts w:hint="eastAsia" w:ascii="宋体" w:hAnsi="宋体" w:cs="宋体"/>
              </w:rPr>
              <w:t>金额为</w:t>
            </w:r>
            <w:r>
              <w:rPr>
                <w:rFonts w:ascii="宋体" w:hAnsi="宋体" w:cs="宋体"/>
              </w:rPr>
              <w:t>6000</w:t>
            </w:r>
            <w:r>
              <w:rPr>
                <w:rFonts w:hint="eastAsia" w:ascii="宋体" w:hAnsi="宋体" w:cs="宋体"/>
              </w:rPr>
              <w:t>万元，计算招标代理服务收费额如下：</w:t>
            </w:r>
          </w:p>
          <w:p>
            <w:pPr>
              <w:spacing w:line="360" w:lineRule="auto"/>
              <w:ind w:right="26"/>
              <w:rPr>
                <w:rFonts w:ascii="宋体" w:cs="Times New Roman"/>
              </w:rPr>
            </w:pPr>
            <w:r>
              <w:rPr>
                <w:rFonts w:ascii="宋体" w:hAnsi="宋体" w:cs="宋体"/>
              </w:rPr>
              <w:t>100</w:t>
            </w:r>
            <w:r>
              <w:rPr>
                <w:rFonts w:hint="eastAsia" w:ascii="宋体" w:hAnsi="宋体" w:cs="宋体"/>
              </w:rPr>
              <w:t>万元</w:t>
            </w:r>
            <w:r>
              <w:rPr>
                <w:rFonts w:hint="eastAsia" w:ascii="宋体" w:cs="宋体"/>
              </w:rPr>
              <w:t>×</w:t>
            </w:r>
            <w:r>
              <w:rPr>
                <w:rFonts w:ascii="宋体" w:hAnsi="宋体" w:cs="宋体"/>
              </w:rPr>
              <w:t>1.5</w:t>
            </w:r>
            <w:r>
              <w:rPr>
                <w:rFonts w:hint="eastAsia" w:ascii="宋体" w:hAnsi="宋体" w:cs="宋体"/>
              </w:rPr>
              <w:t>％＝</w:t>
            </w:r>
            <w:r>
              <w:rPr>
                <w:rFonts w:ascii="宋体" w:hAnsi="宋体" w:cs="宋体"/>
              </w:rPr>
              <w:t>1.5</w:t>
            </w:r>
            <w:r>
              <w:rPr>
                <w:rFonts w:hint="eastAsia" w:ascii="宋体" w:hAnsi="宋体" w:cs="宋体"/>
              </w:rPr>
              <w:t>万元</w:t>
            </w:r>
          </w:p>
          <w:p>
            <w:pPr>
              <w:spacing w:line="360" w:lineRule="auto"/>
              <w:ind w:right="26"/>
              <w:rPr>
                <w:rFonts w:ascii="宋体" w:cs="Times New Roman"/>
              </w:rPr>
            </w:pPr>
            <w:r>
              <w:rPr>
                <w:rFonts w:hint="eastAsia" w:ascii="宋体" w:hAnsi="宋体" w:cs="宋体"/>
              </w:rPr>
              <w:t>（</w:t>
            </w:r>
            <w:r>
              <w:rPr>
                <w:rFonts w:ascii="宋体" w:hAnsi="宋体" w:cs="宋体"/>
              </w:rPr>
              <w:t>500</w:t>
            </w:r>
            <w:r>
              <w:rPr>
                <w:rFonts w:hint="eastAsia" w:ascii="宋体" w:hAnsi="宋体" w:cs="宋体"/>
              </w:rPr>
              <w:t>一</w:t>
            </w:r>
            <w:r>
              <w:rPr>
                <w:rFonts w:ascii="宋体" w:hAnsi="宋体" w:cs="宋体"/>
              </w:rPr>
              <w:t>100</w:t>
            </w:r>
            <w:r>
              <w:rPr>
                <w:rFonts w:hint="eastAsia" w:ascii="宋体" w:hAnsi="宋体" w:cs="宋体"/>
              </w:rPr>
              <w:t>）万元</w:t>
            </w:r>
            <w:r>
              <w:rPr>
                <w:rFonts w:hint="eastAsia" w:ascii="宋体" w:cs="宋体"/>
              </w:rPr>
              <w:t>×</w:t>
            </w:r>
            <w:r>
              <w:rPr>
                <w:rFonts w:hint="eastAsia" w:ascii="宋体" w:cs="宋体"/>
                <w:lang w:val="en-US" w:eastAsia="zh-CN"/>
              </w:rPr>
              <w:t>1.1</w:t>
            </w:r>
            <w:r>
              <w:rPr>
                <w:rFonts w:hint="eastAsia" w:ascii="宋体" w:hAnsi="宋体" w:cs="宋体"/>
              </w:rPr>
              <w:t>％＝</w:t>
            </w:r>
            <w:r>
              <w:rPr>
                <w:rFonts w:hint="eastAsia" w:ascii="宋体" w:hAnsi="宋体" w:cs="宋体"/>
                <w:lang w:val="en-US" w:eastAsia="zh-CN"/>
              </w:rPr>
              <w:t>4.4</w:t>
            </w:r>
            <w:r>
              <w:rPr>
                <w:rFonts w:hint="eastAsia" w:ascii="宋体" w:hAnsi="宋体" w:cs="宋体"/>
              </w:rPr>
              <w:t>万元</w:t>
            </w:r>
          </w:p>
          <w:p>
            <w:pPr>
              <w:spacing w:line="360" w:lineRule="auto"/>
              <w:ind w:right="26"/>
              <w:rPr>
                <w:rFonts w:ascii="宋体" w:cs="Times New Roman"/>
              </w:rPr>
            </w:pPr>
            <w:r>
              <w:rPr>
                <w:rFonts w:hint="eastAsia" w:ascii="宋体" w:hAnsi="宋体" w:cs="宋体"/>
              </w:rPr>
              <w:t>（</w:t>
            </w:r>
            <w:r>
              <w:rPr>
                <w:rFonts w:ascii="宋体" w:hAnsi="宋体" w:cs="宋体"/>
              </w:rPr>
              <w:t>1000</w:t>
            </w:r>
            <w:r>
              <w:rPr>
                <w:rFonts w:hint="eastAsia" w:ascii="宋体" w:hAnsi="宋体" w:cs="宋体"/>
              </w:rPr>
              <w:t>－</w:t>
            </w:r>
            <w:r>
              <w:rPr>
                <w:rFonts w:ascii="宋体" w:hAnsi="宋体" w:cs="宋体"/>
              </w:rPr>
              <w:t>500</w:t>
            </w:r>
            <w:r>
              <w:rPr>
                <w:rFonts w:hint="eastAsia" w:ascii="宋体" w:hAnsi="宋体" w:cs="宋体"/>
              </w:rPr>
              <w:t>）万元</w:t>
            </w:r>
            <w:r>
              <w:rPr>
                <w:rFonts w:hint="eastAsia" w:ascii="宋体" w:cs="宋体"/>
              </w:rPr>
              <w:t>×</w:t>
            </w:r>
            <w:r>
              <w:rPr>
                <w:rFonts w:ascii="宋体" w:hAnsi="宋体" w:cs="宋体"/>
              </w:rPr>
              <w:t>0.</w:t>
            </w:r>
            <w:r>
              <w:rPr>
                <w:rFonts w:hint="eastAsia" w:ascii="宋体" w:hAnsi="宋体" w:cs="宋体"/>
                <w:lang w:val="en-US" w:eastAsia="zh-CN"/>
              </w:rPr>
              <w:t>8</w:t>
            </w:r>
            <w:r>
              <w:rPr>
                <w:rFonts w:hint="eastAsia" w:ascii="宋体" w:hAnsi="宋体" w:cs="宋体"/>
              </w:rPr>
              <w:t>％＝</w:t>
            </w:r>
            <w:r>
              <w:rPr>
                <w:rFonts w:hint="eastAsia" w:ascii="宋体" w:hAnsi="宋体" w:cs="宋体"/>
                <w:lang w:val="en-US" w:eastAsia="zh-CN"/>
              </w:rPr>
              <w:t>4</w:t>
            </w:r>
            <w:r>
              <w:rPr>
                <w:rFonts w:hint="eastAsia" w:ascii="宋体" w:hAnsi="宋体" w:cs="宋体"/>
              </w:rPr>
              <w:t>万元</w:t>
            </w:r>
          </w:p>
          <w:p>
            <w:pPr>
              <w:spacing w:line="360" w:lineRule="auto"/>
              <w:ind w:right="26"/>
              <w:rPr>
                <w:rFonts w:ascii="宋体" w:cs="Times New Roman"/>
              </w:rPr>
            </w:pPr>
            <w:r>
              <w:rPr>
                <w:rFonts w:hint="eastAsia" w:ascii="宋体" w:hAnsi="宋体" w:cs="宋体"/>
              </w:rPr>
              <w:t>（</w:t>
            </w:r>
            <w:r>
              <w:rPr>
                <w:rFonts w:ascii="宋体" w:hAnsi="宋体" w:cs="宋体"/>
              </w:rPr>
              <w:t>5000—1000</w:t>
            </w:r>
            <w:r>
              <w:rPr>
                <w:rFonts w:hint="eastAsia" w:ascii="宋体" w:hAnsi="宋体" w:cs="宋体"/>
              </w:rPr>
              <w:t>）万元</w:t>
            </w:r>
            <w:r>
              <w:rPr>
                <w:rFonts w:hint="eastAsia" w:ascii="宋体" w:cs="宋体"/>
              </w:rPr>
              <w:t>×</w:t>
            </w:r>
            <w:r>
              <w:rPr>
                <w:rFonts w:ascii="宋体" w:hAnsi="宋体" w:cs="宋体"/>
              </w:rPr>
              <w:t>0.5</w:t>
            </w:r>
            <w:r>
              <w:rPr>
                <w:rFonts w:hint="eastAsia" w:ascii="宋体" w:hAnsi="宋体" w:cs="宋体"/>
              </w:rPr>
              <w:t>％＝</w:t>
            </w:r>
            <w:r>
              <w:rPr>
                <w:rFonts w:hint="eastAsia" w:ascii="宋体" w:hAnsi="宋体" w:cs="宋体"/>
                <w:lang w:val="en-US" w:eastAsia="zh-CN"/>
              </w:rPr>
              <w:t>20</w:t>
            </w:r>
            <w:r>
              <w:rPr>
                <w:rFonts w:hint="eastAsia" w:ascii="宋体" w:hAnsi="宋体" w:cs="宋体"/>
              </w:rPr>
              <w:t>万元</w:t>
            </w:r>
          </w:p>
          <w:p>
            <w:pPr>
              <w:spacing w:line="360" w:lineRule="auto"/>
              <w:ind w:right="26"/>
              <w:rPr>
                <w:rFonts w:ascii="宋体" w:cs="Times New Roman"/>
              </w:rPr>
            </w:pPr>
            <w:r>
              <w:rPr>
                <w:rFonts w:hint="eastAsia" w:ascii="宋体" w:hAnsi="宋体" w:cs="宋体"/>
              </w:rPr>
              <w:t>（</w:t>
            </w:r>
            <w:r>
              <w:rPr>
                <w:rFonts w:ascii="宋体" w:hAnsi="宋体" w:cs="宋体"/>
              </w:rPr>
              <w:t>6000—5000</w:t>
            </w:r>
            <w:r>
              <w:rPr>
                <w:rFonts w:hint="eastAsia" w:ascii="宋体" w:hAnsi="宋体" w:cs="宋体"/>
              </w:rPr>
              <w:t>）万元</w:t>
            </w:r>
            <w:r>
              <w:rPr>
                <w:rFonts w:hint="eastAsia" w:ascii="宋体" w:cs="宋体"/>
              </w:rPr>
              <w:t>×</w:t>
            </w:r>
            <w:r>
              <w:rPr>
                <w:rFonts w:ascii="宋体" w:hAnsi="宋体" w:cs="宋体"/>
              </w:rPr>
              <w:t>0.</w:t>
            </w:r>
            <w:r>
              <w:rPr>
                <w:rFonts w:hint="eastAsia" w:ascii="宋体" w:hAnsi="宋体" w:cs="宋体"/>
                <w:lang w:val="en-US" w:eastAsia="zh-CN"/>
              </w:rPr>
              <w:t>25</w:t>
            </w:r>
            <w:r>
              <w:rPr>
                <w:rFonts w:hint="eastAsia" w:ascii="宋体" w:hAnsi="宋体" w:cs="宋体"/>
              </w:rPr>
              <w:t>％＝</w:t>
            </w:r>
            <w:r>
              <w:rPr>
                <w:rFonts w:hint="eastAsia" w:ascii="宋体" w:hAnsi="宋体" w:cs="宋体"/>
                <w:lang w:val="en-US" w:eastAsia="zh-CN"/>
              </w:rPr>
              <w:t>2.5</w:t>
            </w:r>
            <w:r>
              <w:rPr>
                <w:rFonts w:hint="eastAsia" w:ascii="宋体" w:hAnsi="宋体" w:cs="宋体"/>
              </w:rPr>
              <w:t>万元</w:t>
            </w:r>
          </w:p>
          <w:p>
            <w:pPr>
              <w:spacing w:line="360" w:lineRule="auto"/>
              <w:ind w:right="26"/>
              <w:rPr>
                <w:rFonts w:ascii="宋体" w:cs="Times New Roman"/>
              </w:rPr>
            </w:pPr>
            <w:r>
              <w:rPr>
                <w:rFonts w:hint="eastAsia" w:ascii="宋体" w:hAnsi="宋体" w:cs="宋体"/>
              </w:rPr>
              <w:t>合计收费</w:t>
            </w:r>
            <w:r>
              <w:rPr>
                <w:rFonts w:ascii="宋体" w:hAnsi="宋体" w:cs="宋体"/>
              </w:rPr>
              <w:t>=1.5</w:t>
            </w:r>
            <w:r>
              <w:rPr>
                <w:rFonts w:hint="eastAsia" w:ascii="宋体" w:hAnsi="宋体" w:cs="宋体"/>
                <w:lang w:val="en-US" w:eastAsia="zh-CN"/>
              </w:rPr>
              <w:t xml:space="preserve"> </w:t>
            </w:r>
            <w:r>
              <w:rPr>
                <w:rFonts w:ascii="宋体" w:hAnsi="宋体" w:cs="宋体"/>
              </w:rPr>
              <w:t>+</w:t>
            </w:r>
            <w:r>
              <w:rPr>
                <w:rFonts w:hint="eastAsia" w:ascii="宋体" w:hAnsi="宋体" w:cs="宋体"/>
                <w:lang w:val="en-US" w:eastAsia="zh-CN"/>
              </w:rPr>
              <w:t xml:space="preserve"> 4.4 + 4 + 20 + 2.5</w:t>
            </w:r>
            <w:r>
              <w:rPr>
                <w:rFonts w:hint="eastAsia" w:ascii="宋体" w:hAnsi="宋体" w:cs="宋体"/>
              </w:rPr>
              <w:t>＝</w:t>
            </w:r>
            <w:r>
              <w:rPr>
                <w:rFonts w:hint="eastAsia" w:ascii="宋体" w:hAnsi="宋体" w:cs="宋体"/>
                <w:lang w:val="en-US" w:eastAsia="zh-CN"/>
              </w:rPr>
              <w:t>32.4</w:t>
            </w:r>
            <w:r>
              <w:rPr>
                <w:rFonts w:hint="eastAsia" w:ascii="宋体" w:hAnsi="宋体" w:cs="宋体"/>
              </w:rPr>
              <w:t>（万元）</w:t>
            </w:r>
          </w:p>
        </w:tc>
      </w:tr>
      <w:tr>
        <w:tblPrEx>
          <w:tblLayout w:type="fixed"/>
          <w:tblCellMar>
            <w:top w:w="0" w:type="dxa"/>
            <w:left w:w="108" w:type="dxa"/>
            <w:bottom w:w="0" w:type="dxa"/>
            <w:right w:w="108" w:type="dxa"/>
          </w:tblCellMar>
        </w:tblPrEx>
        <w:tc>
          <w:tcPr>
            <w:tcW w:w="198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100-500</w:t>
            </w:r>
          </w:p>
        </w:tc>
        <w:tc>
          <w:tcPr>
            <w:tcW w:w="126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hint="eastAsia" w:ascii="宋体" w:hAnsi="宋体" w:cs="宋体"/>
                <w:lang w:val="en-US" w:eastAsia="zh-CN"/>
              </w:rPr>
              <w:t>1.1</w:t>
            </w:r>
            <w:r>
              <w:rPr>
                <w:rFonts w:ascii="宋体" w:hAnsi="宋体" w:cs="宋体"/>
              </w:rPr>
              <w:t>%</w:t>
            </w:r>
          </w:p>
        </w:tc>
        <w:tc>
          <w:tcPr>
            <w:tcW w:w="5400" w:type="dxa"/>
            <w:vMerge w:val="continue"/>
            <w:tcBorders>
              <w:top w:val="single" w:color="000000" w:sz="4" w:space="0"/>
              <w:left w:val="single" w:color="000000" w:sz="6" w:space="0"/>
              <w:bottom w:val="single" w:color="000000" w:sz="4" w:space="0"/>
              <w:right w:val="single" w:color="000000" w:sz="4" w:space="0"/>
            </w:tcBorders>
            <w:shd w:val="clear" w:color="000000" w:fill="FFFFFF"/>
            <w:tcMar>
              <w:left w:w="108" w:type="dxa"/>
              <w:right w:w="108" w:type="dxa"/>
            </w:tcMar>
          </w:tcPr>
          <w:p>
            <w:pPr>
              <w:rPr>
                <w:rFonts w:ascii="宋体" w:cs="Times New Roman"/>
              </w:rPr>
            </w:pPr>
          </w:p>
        </w:tc>
      </w:tr>
      <w:tr>
        <w:tblPrEx>
          <w:tblLayout w:type="fixed"/>
          <w:tblCellMar>
            <w:top w:w="0" w:type="dxa"/>
            <w:left w:w="108" w:type="dxa"/>
            <w:bottom w:w="0" w:type="dxa"/>
            <w:right w:w="108" w:type="dxa"/>
          </w:tblCellMar>
        </w:tblPrEx>
        <w:tc>
          <w:tcPr>
            <w:tcW w:w="198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500-1000</w:t>
            </w:r>
          </w:p>
        </w:tc>
        <w:tc>
          <w:tcPr>
            <w:tcW w:w="126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0.</w:t>
            </w:r>
            <w:r>
              <w:rPr>
                <w:rFonts w:hint="eastAsia" w:ascii="宋体" w:hAnsi="宋体" w:cs="宋体"/>
                <w:lang w:val="en-US" w:eastAsia="zh-CN"/>
              </w:rPr>
              <w:t>8</w:t>
            </w:r>
            <w:r>
              <w:rPr>
                <w:rFonts w:ascii="宋体" w:hAnsi="宋体" w:cs="宋体"/>
              </w:rPr>
              <w:t>%</w:t>
            </w:r>
          </w:p>
        </w:tc>
        <w:tc>
          <w:tcPr>
            <w:tcW w:w="5400" w:type="dxa"/>
            <w:vMerge w:val="continue"/>
            <w:tcBorders>
              <w:top w:val="single" w:color="000000" w:sz="4" w:space="0"/>
              <w:left w:val="single" w:color="000000" w:sz="6" w:space="0"/>
              <w:bottom w:val="single" w:color="000000" w:sz="4" w:space="0"/>
              <w:right w:val="single" w:color="000000" w:sz="4" w:space="0"/>
            </w:tcBorders>
            <w:shd w:val="clear" w:color="000000" w:fill="FFFFFF"/>
            <w:tcMar>
              <w:left w:w="108" w:type="dxa"/>
              <w:right w:w="108" w:type="dxa"/>
            </w:tcMar>
          </w:tcPr>
          <w:p>
            <w:pPr>
              <w:rPr>
                <w:rFonts w:ascii="宋体" w:cs="Times New Roman"/>
              </w:rPr>
            </w:pPr>
          </w:p>
        </w:tc>
      </w:tr>
      <w:tr>
        <w:tblPrEx>
          <w:tblLayout w:type="fixed"/>
          <w:tblCellMar>
            <w:top w:w="0" w:type="dxa"/>
            <w:left w:w="108" w:type="dxa"/>
            <w:bottom w:w="0" w:type="dxa"/>
            <w:right w:w="108" w:type="dxa"/>
          </w:tblCellMar>
        </w:tblPrEx>
        <w:tc>
          <w:tcPr>
            <w:tcW w:w="198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1000-5000</w:t>
            </w:r>
          </w:p>
        </w:tc>
        <w:tc>
          <w:tcPr>
            <w:tcW w:w="126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0.</w:t>
            </w:r>
            <w:r>
              <w:rPr>
                <w:rFonts w:hint="eastAsia" w:ascii="宋体" w:hAnsi="宋体" w:cs="宋体"/>
                <w:lang w:val="en-US" w:eastAsia="zh-CN"/>
              </w:rPr>
              <w:t>5</w:t>
            </w:r>
            <w:r>
              <w:rPr>
                <w:rFonts w:ascii="宋体" w:hAnsi="宋体" w:cs="宋体"/>
              </w:rPr>
              <w:t>%</w:t>
            </w:r>
          </w:p>
        </w:tc>
        <w:tc>
          <w:tcPr>
            <w:tcW w:w="5400" w:type="dxa"/>
            <w:vMerge w:val="continue"/>
            <w:tcBorders>
              <w:top w:val="single" w:color="000000" w:sz="4" w:space="0"/>
              <w:left w:val="single" w:color="000000" w:sz="6" w:space="0"/>
              <w:bottom w:val="single" w:color="000000" w:sz="4" w:space="0"/>
              <w:right w:val="single" w:color="000000" w:sz="4" w:space="0"/>
            </w:tcBorders>
            <w:shd w:val="clear" w:color="000000" w:fill="FFFFFF"/>
            <w:tcMar>
              <w:left w:w="108" w:type="dxa"/>
              <w:right w:w="108" w:type="dxa"/>
            </w:tcMar>
          </w:tcPr>
          <w:p>
            <w:pPr>
              <w:rPr>
                <w:rFonts w:ascii="宋体" w:cs="Times New Roman"/>
              </w:rPr>
            </w:pPr>
          </w:p>
        </w:tc>
      </w:tr>
      <w:tr>
        <w:tblPrEx>
          <w:tblLayout w:type="fixed"/>
          <w:tblCellMar>
            <w:top w:w="0" w:type="dxa"/>
            <w:left w:w="108" w:type="dxa"/>
            <w:bottom w:w="0" w:type="dxa"/>
            <w:right w:w="108" w:type="dxa"/>
          </w:tblCellMar>
        </w:tblPrEx>
        <w:tc>
          <w:tcPr>
            <w:tcW w:w="198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5000-10000</w:t>
            </w:r>
          </w:p>
        </w:tc>
        <w:tc>
          <w:tcPr>
            <w:tcW w:w="126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0.</w:t>
            </w:r>
            <w:r>
              <w:rPr>
                <w:rFonts w:hint="eastAsia" w:ascii="宋体" w:hAnsi="宋体" w:cs="宋体"/>
                <w:lang w:val="en-US" w:eastAsia="zh-CN"/>
              </w:rPr>
              <w:t>25</w:t>
            </w:r>
            <w:r>
              <w:rPr>
                <w:rFonts w:ascii="宋体" w:hAnsi="宋体" w:cs="宋体"/>
              </w:rPr>
              <w:t>%</w:t>
            </w:r>
          </w:p>
        </w:tc>
        <w:tc>
          <w:tcPr>
            <w:tcW w:w="5400" w:type="dxa"/>
            <w:vMerge w:val="continue"/>
            <w:tcBorders>
              <w:top w:val="single" w:color="000000" w:sz="4" w:space="0"/>
              <w:left w:val="single" w:color="000000" w:sz="6" w:space="0"/>
              <w:bottom w:val="single" w:color="000000" w:sz="4" w:space="0"/>
              <w:right w:val="single" w:color="000000" w:sz="4" w:space="0"/>
            </w:tcBorders>
            <w:shd w:val="clear" w:color="000000" w:fill="FFFFFF"/>
            <w:tcMar>
              <w:left w:w="108" w:type="dxa"/>
              <w:right w:w="108" w:type="dxa"/>
            </w:tcMar>
          </w:tcPr>
          <w:p>
            <w:pPr>
              <w:rPr>
                <w:rFonts w:ascii="宋体" w:cs="Times New Roman"/>
              </w:rPr>
            </w:pPr>
          </w:p>
        </w:tc>
      </w:tr>
      <w:tr>
        <w:tblPrEx>
          <w:tblLayout w:type="fixed"/>
          <w:tblCellMar>
            <w:top w:w="0" w:type="dxa"/>
            <w:left w:w="108" w:type="dxa"/>
            <w:bottom w:w="0" w:type="dxa"/>
            <w:right w:w="108" w:type="dxa"/>
          </w:tblCellMar>
        </w:tblPrEx>
        <w:tc>
          <w:tcPr>
            <w:tcW w:w="198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10000-100000</w:t>
            </w:r>
          </w:p>
        </w:tc>
        <w:tc>
          <w:tcPr>
            <w:tcW w:w="1260" w:type="dxa"/>
            <w:tcBorders>
              <w:top w:val="single" w:color="000000" w:sz="6" w:space="0"/>
              <w:left w:val="single" w:color="000000" w:sz="6" w:space="0"/>
              <w:bottom w:val="single" w:color="000000" w:sz="6" w:space="0"/>
              <w:right w:val="single" w:color="000000" w:sz="6" w:space="0"/>
            </w:tcBorders>
            <w:shd w:val="clear" w:color="000000" w:fill="FFFFFF"/>
            <w:tcMar>
              <w:left w:w="108" w:type="dxa"/>
              <w:right w:w="108" w:type="dxa"/>
            </w:tcMar>
            <w:vAlign w:val="center"/>
          </w:tcPr>
          <w:p>
            <w:pPr>
              <w:spacing w:line="360" w:lineRule="auto"/>
              <w:jc w:val="center"/>
              <w:rPr>
                <w:rFonts w:ascii="宋体" w:cs="Times New Roman"/>
              </w:rPr>
            </w:pPr>
            <w:r>
              <w:rPr>
                <w:rFonts w:ascii="宋体" w:hAnsi="宋体" w:cs="宋体"/>
              </w:rPr>
              <w:t>0.05%</w:t>
            </w:r>
          </w:p>
        </w:tc>
        <w:tc>
          <w:tcPr>
            <w:tcW w:w="5400" w:type="dxa"/>
            <w:vMerge w:val="continue"/>
            <w:tcBorders>
              <w:top w:val="single" w:color="000000" w:sz="4" w:space="0"/>
              <w:left w:val="single" w:color="000000" w:sz="6" w:space="0"/>
              <w:bottom w:val="single" w:color="000000" w:sz="4" w:space="0"/>
              <w:right w:val="single" w:color="000000" w:sz="4" w:space="0"/>
            </w:tcBorders>
            <w:shd w:val="clear" w:color="000000" w:fill="FFFFFF"/>
            <w:tcMar>
              <w:left w:w="108" w:type="dxa"/>
              <w:right w:w="108" w:type="dxa"/>
            </w:tcMar>
          </w:tcPr>
          <w:p>
            <w:pPr>
              <w:rPr>
                <w:rFonts w:ascii="宋体" w:cs="Times New Roman"/>
              </w:rPr>
            </w:pPr>
          </w:p>
        </w:tc>
      </w:tr>
    </w:tbl>
    <w:p>
      <w:pPr>
        <w:spacing w:line="360" w:lineRule="auto"/>
        <w:jc w:val="center"/>
        <w:rPr>
          <w:rFonts w:ascii="宋体" w:cs="Times New Roman"/>
          <w:b/>
          <w:bCs/>
          <w:sz w:val="28"/>
          <w:szCs w:val="28"/>
        </w:rPr>
      </w:pPr>
    </w:p>
    <w:p>
      <w:pPr>
        <w:spacing w:line="360" w:lineRule="auto"/>
        <w:rPr>
          <w:rFonts w:ascii="宋体" w:cs="Times New Roman"/>
          <w:b/>
          <w:bCs/>
        </w:rPr>
      </w:pPr>
      <w:r>
        <w:rPr>
          <w:rFonts w:hint="eastAsia" w:ascii="宋体" w:hAnsi="宋体" w:cs="宋体"/>
          <w:b/>
          <w:bCs/>
        </w:rPr>
        <w:t>备注：（</w:t>
      </w:r>
      <w:r>
        <w:rPr>
          <w:rFonts w:ascii="宋体" w:hAnsi="宋体" w:cs="宋体"/>
          <w:b/>
          <w:bCs/>
        </w:rPr>
        <w:t>1</w:t>
      </w:r>
      <w:r>
        <w:rPr>
          <w:rFonts w:hint="eastAsia" w:ascii="宋体" w:hAnsi="宋体" w:cs="宋体"/>
          <w:b/>
          <w:bCs/>
        </w:rPr>
        <w:t>）本项目招标代理服务费由成交人支付，成交人在成交通知书发出之前，按</w:t>
      </w:r>
      <w:r>
        <w:rPr>
          <w:rFonts w:hint="eastAsia" w:ascii="宋体" w:hAnsi="宋体" w:cs="宋体"/>
          <w:b/>
          <w:bCs/>
          <w:lang w:eastAsia="zh-CN"/>
        </w:rPr>
        <w:t>采购</w:t>
      </w:r>
      <w:r>
        <w:rPr>
          <w:rFonts w:hint="eastAsia" w:ascii="宋体" w:hAnsi="宋体" w:cs="宋体"/>
          <w:b/>
          <w:bCs/>
        </w:rPr>
        <w:t>人和</w:t>
      </w:r>
      <w:r>
        <w:rPr>
          <w:rFonts w:hint="eastAsia" w:ascii="宋体" w:hAnsi="宋体" w:cs="宋体"/>
          <w:b/>
          <w:bCs/>
          <w:lang w:eastAsia="zh-CN"/>
        </w:rPr>
        <w:t>采购代理机构</w:t>
      </w:r>
      <w:r>
        <w:rPr>
          <w:rFonts w:hint="eastAsia" w:ascii="宋体" w:hAnsi="宋体" w:cs="宋体"/>
          <w:b/>
          <w:bCs/>
        </w:rPr>
        <w:t>签订的</w:t>
      </w:r>
      <w:r>
        <w:rPr>
          <w:rFonts w:hint="eastAsia" w:ascii="宋体" w:hAnsi="宋体" w:cs="宋体"/>
          <w:b/>
          <w:bCs/>
          <w:lang w:eastAsia="zh-CN"/>
        </w:rPr>
        <w:t>委托代理协议</w:t>
      </w:r>
      <w:r>
        <w:rPr>
          <w:rFonts w:hint="eastAsia" w:ascii="宋体" w:hAnsi="宋体" w:cs="宋体"/>
          <w:b/>
          <w:bCs/>
        </w:rPr>
        <w:t>规定标准交纳招标代理</w:t>
      </w:r>
      <w:r>
        <w:rPr>
          <w:rFonts w:hint="eastAsia" w:ascii="宋体" w:hAnsi="宋体" w:cs="宋体"/>
          <w:b/>
          <w:bCs/>
          <w:lang w:eastAsia="zh-CN"/>
        </w:rPr>
        <w:t>服务</w:t>
      </w:r>
      <w:r>
        <w:rPr>
          <w:rFonts w:hint="eastAsia" w:ascii="宋体" w:hAnsi="宋体" w:cs="宋体"/>
          <w:b/>
          <w:bCs/>
        </w:rPr>
        <w:t>费。</w:t>
      </w:r>
    </w:p>
    <w:p>
      <w:pPr>
        <w:spacing w:line="360" w:lineRule="auto"/>
        <w:ind w:firstLine="632" w:firstLineChars="300"/>
        <w:rPr>
          <w:rFonts w:ascii="宋体" w:cs="Times New Roman"/>
          <w:b/>
          <w:bCs/>
        </w:rPr>
      </w:pPr>
      <w:r>
        <w:rPr>
          <w:rFonts w:hint="eastAsia" w:ascii="宋体" w:hAnsi="宋体" w:cs="宋体"/>
          <w:b/>
          <w:bCs/>
        </w:rPr>
        <w:t>（</w:t>
      </w:r>
      <w:r>
        <w:rPr>
          <w:rFonts w:ascii="宋体" w:hAnsi="宋体" w:cs="宋体"/>
          <w:b/>
          <w:bCs/>
        </w:rPr>
        <w:t>2</w:t>
      </w:r>
      <w:r>
        <w:rPr>
          <w:rFonts w:hint="eastAsia" w:ascii="宋体" w:hAnsi="宋体" w:cs="宋体"/>
          <w:b/>
          <w:bCs/>
        </w:rPr>
        <w:t>）招标代理服务费的币种：人民币。</w:t>
      </w:r>
    </w:p>
    <w:p>
      <w:pPr>
        <w:adjustRightInd w:val="0"/>
        <w:snapToGrid w:val="0"/>
        <w:spacing w:line="360" w:lineRule="auto"/>
        <w:rPr>
          <w:rFonts w:hint="eastAsia" w:ascii="宋体" w:hAnsi="宋体"/>
          <w:b/>
          <w:bCs/>
          <w:szCs w:val="21"/>
        </w:rPr>
      </w:pPr>
      <w:r>
        <w:rPr>
          <w:rFonts w:ascii="宋体" w:hAnsi="宋体"/>
          <w:b/>
          <w:bCs/>
          <w:szCs w:val="21"/>
        </w:rPr>
        <w:br w:type="page"/>
      </w:r>
      <w:r>
        <w:rPr>
          <w:rFonts w:hint="eastAsia" w:ascii="宋体" w:hAnsi="宋体" w:cs="宋体"/>
          <w:b/>
          <w:bCs/>
          <w:sz w:val="28"/>
          <w:szCs w:val="28"/>
        </w:rPr>
        <w:t>附页</w:t>
      </w:r>
      <w:r>
        <w:rPr>
          <w:rFonts w:hint="eastAsia" w:ascii="宋体" w:hAnsi="宋体" w:cs="宋体"/>
          <w:b/>
          <w:bCs/>
          <w:sz w:val="28"/>
          <w:szCs w:val="28"/>
          <w:lang w:val="en-US" w:eastAsia="zh-CN"/>
        </w:rPr>
        <w:t>7</w:t>
      </w:r>
    </w:p>
    <w:p>
      <w:pPr>
        <w:adjustRightInd w:val="0"/>
        <w:snapToGrid w:val="0"/>
        <w:spacing w:line="360" w:lineRule="auto"/>
        <w:jc w:val="center"/>
        <w:rPr>
          <w:rFonts w:hint="eastAsia" w:ascii="宋体" w:hAnsi="宋体" w:cs="宋体"/>
          <w:b/>
          <w:color w:val="000000"/>
          <w:kern w:val="0"/>
          <w:sz w:val="28"/>
          <w:szCs w:val="28"/>
        </w:rPr>
      </w:pPr>
      <w:r>
        <w:rPr>
          <w:rFonts w:hint="eastAsia" w:ascii="宋体" w:hAnsi="宋体" w:cs="宋体"/>
          <w:b/>
          <w:color w:val="000000"/>
          <w:kern w:val="0"/>
          <w:sz w:val="28"/>
          <w:szCs w:val="28"/>
        </w:rPr>
        <w:t>政府采购履约担保函</w:t>
      </w:r>
    </w:p>
    <w:p>
      <w:pPr>
        <w:adjustRightInd w:val="0"/>
        <w:snapToGrid w:val="0"/>
        <w:spacing w:line="360" w:lineRule="auto"/>
        <w:ind w:firstLine="6510" w:firstLineChars="3100"/>
        <w:rPr>
          <w:rFonts w:hint="eastAsia" w:ascii="宋体" w:hAnsi="宋体" w:cs="宋体"/>
          <w:b/>
          <w:color w:val="000000"/>
          <w:kern w:val="0"/>
          <w:szCs w:val="21"/>
        </w:rPr>
      </w:pPr>
      <w:r>
        <w:rPr>
          <w:rFonts w:hint="eastAsia" w:ascii="宋体" w:hAnsi="宋体" w:cs="宋体"/>
          <w:color w:val="000000"/>
          <w:kern w:val="0"/>
          <w:szCs w:val="21"/>
        </w:rPr>
        <w:t>编号：</w:t>
      </w:r>
      <w:r>
        <w:rPr>
          <w:rFonts w:hint="eastAsia" w:ascii="宋体" w:hAnsi="宋体" w:cs="宋体"/>
          <w:color w:val="000000"/>
          <w:kern w:val="0"/>
          <w:szCs w:val="21"/>
          <w:u w:val="single"/>
        </w:rPr>
        <w:t xml:space="preserve">              </w:t>
      </w:r>
    </w:p>
    <w:p>
      <w:pPr>
        <w:adjustRightInd w:val="0"/>
        <w:snapToGrid w:val="0"/>
        <w:spacing w:line="360" w:lineRule="auto"/>
        <w:rPr>
          <w:rFonts w:hint="eastAsia" w:ascii="宋体" w:hAnsi="宋体" w:cs="宋体"/>
          <w:color w:val="000000"/>
          <w:kern w:val="0"/>
          <w:szCs w:val="21"/>
        </w:rPr>
      </w:pPr>
      <w:r>
        <w:rPr>
          <w:rFonts w:hint="eastAsia" w:ascii="宋体" w:hAnsi="宋体" w:cs="宋体"/>
          <w:color w:val="000000"/>
          <w:kern w:val="0"/>
          <w:szCs w:val="21"/>
        </w:rPr>
        <w:t xml:space="preserve"> </w:t>
      </w:r>
      <w:r>
        <w:rPr>
          <w:rFonts w:hint="eastAsia" w:ascii="宋体" w:hAnsi="宋体" w:cs="宋体"/>
          <w:color w:val="000000"/>
          <w:kern w:val="0"/>
          <w:szCs w:val="21"/>
          <w:u w:val="single"/>
        </w:rPr>
        <w:t xml:space="preserve">                     </w:t>
      </w:r>
      <w:r>
        <w:rPr>
          <w:rFonts w:hint="eastAsia" w:ascii="宋体" w:hAnsi="宋体" w:cs="宋体"/>
          <w:color w:val="000000"/>
          <w:kern w:val="0"/>
          <w:szCs w:val="21"/>
        </w:rPr>
        <w:t xml:space="preserve">（采购人）： </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鉴于你方与</w:t>
      </w:r>
      <w:r>
        <w:rPr>
          <w:rFonts w:hint="eastAsia" w:ascii="宋体" w:hAnsi="宋体" w:cs="宋体"/>
          <w:color w:val="000000"/>
          <w:kern w:val="0"/>
          <w:szCs w:val="21"/>
          <w:u w:val="single"/>
        </w:rPr>
        <w:t xml:space="preserve">                   </w:t>
      </w:r>
      <w:r>
        <w:rPr>
          <w:rFonts w:hint="eastAsia" w:ascii="宋体" w:hAnsi="宋体" w:cs="宋体"/>
          <w:color w:val="000000"/>
          <w:kern w:val="0"/>
          <w:szCs w:val="21"/>
        </w:rPr>
        <w:t>（以下简称供应商）于</w:t>
      </w:r>
      <w:r>
        <w:rPr>
          <w:rFonts w:hint="eastAsia" w:ascii="宋体" w:hAnsi="宋体" w:cs="宋体"/>
          <w:color w:val="000000"/>
          <w:kern w:val="0"/>
          <w:szCs w:val="21"/>
          <w:u w:val="single"/>
        </w:rPr>
        <w:t xml:space="preserve">     </w:t>
      </w:r>
      <w:r>
        <w:rPr>
          <w:rFonts w:hint="eastAsia" w:ascii="宋体" w:hAnsi="宋体" w:cs="宋体"/>
          <w:color w:val="000000"/>
          <w:kern w:val="0"/>
          <w:szCs w:val="21"/>
        </w:rPr>
        <w:t>年</w:t>
      </w:r>
      <w:r>
        <w:rPr>
          <w:rFonts w:hint="eastAsia" w:ascii="宋体" w:hAnsi="宋体" w:cs="宋体"/>
          <w:color w:val="000000"/>
          <w:kern w:val="0"/>
          <w:szCs w:val="21"/>
          <w:u w:val="single"/>
        </w:rPr>
        <w:t xml:space="preserve">   </w:t>
      </w:r>
      <w:r>
        <w:rPr>
          <w:rFonts w:hint="eastAsia" w:ascii="宋体" w:hAnsi="宋体" w:cs="宋体"/>
          <w:color w:val="000000"/>
          <w:kern w:val="0"/>
          <w:szCs w:val="21"/>
        </w:rPr>
        <w:t>月</w:t>
      </w:r>
      <w:r>
        <w:rPr>
          <w:rFonts w:hint="eastAsia" w:ascii="宋体" w:hAnsi="宋体" w:cs="宋体"/>
          <w:color w:val="000000"/>
          <w:kern w:val="0"/>
          <w:szCs w:val="21"/>
          <w:u w:val="single"/>
        </w:rPr>
        <w:t xml:space="preserve">   </w:t>
      </w:r>
      <w:r>
        <w:rPr>
          <w:rFonts w:hint="eastAsia" w:ascii="宋体" w:hAnsi="宋体" w:cs="宋体"/>
          <w:color w:val="000000"/>
          <w:kern w:val="0"/>
          <w:szCs w:val="21"/>
        </w:rPr>
        <w:t>日签定编号为</w:t>
      </w:r>
      <w:r>
        <w:rPr>
          <w:rFonts w:hint="eastAsia" w:ascii="宋体" w:hAnsi="宋体" w:cs="宋体"/>
          <w:color w:val="000000"/>
          <w:kern w:val="0"/>
          <w:szCs w:val="21"/>
          <w:u w:val="single"/>
        </w:rPr>
        <w:t xml:space="preserve">           </w:t>
      </w:r>
      <w:r>
        <w:rPr>
          <w:rFonts w:hint="eastAsia" w:ascii="宋体" w:hAnsi="宋体" w:cs="宋体"/>
          <w:color w:val="000000"/>
          <w:kern w:val="0"/>
          <w:szCs w:val="21"/>
        </w:rPr>
        <w:t>的《</w:t>
      </w:r>
      <w:r>
        <w:rPr>
          <w:rFonts w:hint="eastAsia" w:ascii="宋体" w:hAnsi="宋体" w:cs="宋体"/>
          <w:color w:val="000000"/>
          <w:kern w:val="0"/>
          <w:szCs w:val="21"/>
          <w:u w:val="single"/>
        </w:rPr>
        <w:t xml:space="preserve">            </w:t>
      </w:r>
      <w:r>
        <w:rPr>
          <w:rFonts w:hint="eastAsia" w:ascii="宋体" w:hAnsi="宋体" w:cs="宋体"/>
          <w:color w:val="000000"/>
          <w:kern w:val="0"/>
          <w:szCs w:val="21"/>
        </w:rPr>
        <w:t>政府采购合同》（以下简称主合同），且依据该合同的约定，供应商应在</w:t>
      </w:r>
      <w:r>
        <w:rPr>
          <w:rFonts w:hint="eastAsia" w:ascii="宋体" w:hAnsi="宋体" w:cs="宋体"/>
          <w:color w:val="000000"/>
          <w:kern w:val="0"/>
          <w:szCs w:val="21"/>
          <w:u w:val="single"/>
        </w:rPr>
        <w:t xml:space="preserve">     </w:t>
      </w:r>
      <w:r>
        <w:rPr>
          <w:rFonts w:hint="eastAsia" w:ascii="宋体" w:hAnsi="宋体" w:cs="宋体"/>
          <w:color w:val="000000"/>
          <w:kern w:val="0"/>
          <w:szCs w:val="21"/>
        </w:rPr>
        <w:t>年</w:t>
      </w:r>
      <w:r>
        <w:rPr>
          <w:rFonts w:hint="eastAsia" w:ascii="宋体" w:hAnsi="宋体" w:cs="宋体"/>
          <w:color w:val="000000"/>
          <w:kern w:val="0"/>
          <w:szCs w:val="21"/>
          <w:u w:val="single"/>
        </w:rPr>
        <w:t xml:space="preserve">   </w:t>
      </w:r>
      <w:r>
        <w:rPr>
          <w:rFonts w:hint="eastAsia" w:ascii="宋体" w:hAnsi="宋体" w:cs="宋体"/>
          <w:color w:val="000000"/>
          <w:kern w:val="0"/>
          <w:szCs w:val="21"/>
        </w:rPr>
        <w:t>月</w:t>
      </w:r>
      <w:r>
        <w:rPr>
          <w:rFonts w:hint="eastAsia" w:ascii="宋体" w:hAnsi="宋体" w:cs="宋体"/>
          <w:color w:val="000000"/>
          <w:kern w:val="0"/>
          <w:szCs w:val="21"/>
          <w:u w:val="single"/>
        </w:rPr>
        <w:t xml:space="preserve">   </w:t>
      </w:r>
      <w:r>
        <w:rPr>
          <w:rFonts w:hint="eastAsia" w:ascii="宋体" w:hAnsi="宋体" w:cs="宋体"/>
          <w:color w:val="000000"/>
          <w:kern w:val="0"/>
          <w:szCs w:val="21"/>
        </w:rPr>
        <w:t>日前向你方交纳履约保证金，且可以履约担保函的形式交纳履约保证金。应供应商的申请，我方以保证的方式向你方提供如下履约保证金担保：</w:t>
      </w:r>
    </w:p>
    <w:p>
      <w:pPr>
        <w:adjustRightInd w:val="0"/>
        <w:snapToGrid w:val="0"/>
        <w:spacing w:line="360" w:lineRule="auto"/>
        <w:ind w:firstLine="422" w:firstLineChars="200"/>
        <w:rPr>
          <w:rFonts w:hint="eastAsia" w:ascii="宋体" w:hAnsi="宋体" w:cs="宋体"/>
          <w:b/>
          <w:color w:val="000000"/>
          <w:kern w:val="0"/>
          <w:szCs w:val="21"/>
        </w:rPr>
      </w:pPr>
      <w:r>
        <w:rPr>
          <w:rFonts w:hint="eastAsia" w:ascii="宋体" w:hAnsi="宋体" w:cs="宋体"/>
          <w:b/>
          <w:color w:val="000000"/>
          <w:kern w:val="0"/>
          <w:szCs w:val="21"/>
        </w:rPr>
        <w:t>一、保证责任的情形及保证金额</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（一）在供应商出现下列情形之一时，我方承担保证责任：</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1．将中标项目转让给他人，或者在投标文件中未说明，且未经采购人同意，将中标项目分包给他人的；</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 xml:space="preserve">2．主合同约定的应当缴纳履约保证金的情形: </w:t>
      </w:r>
    </w:p>
    <w:p>
      <w:pPr>
        <w:adjustRightInd w:val="0"/>
        <w:snapToGrid w:val="0"/>
        <w:spacing w:line="360" w:lineRule="auto"/>
        <w:ind w:firstLine="420" w:firstLineChars="200"/>
        <w:rPr>
          <w:rFonts w:hint="eastAsia" w:ascii="宋体" w:hAnsi="宋体" w:cs="宋体"/>
          <w:b/>
          <w:color w:val="000000"/>
          <w:kern w:val="0"/>
          <w:szCs w:val="21"/>
        </w:rPr>
      </w:pPr>
      <w:r>
        <w:rPr>
          <w:rFonts w:hint="eastAsia" w:ascii="宋体" w:hAnsi="宋体" w:cs="宋体"/>
          <w:color w:val="000000"/>
          <w:kern w:val="0"/>
          <w:szCs w:val="21"/>
        </w:rPr>
        <w:t xml:space="preserve">（1）未按主合同约定的质量、数量和期限供应货物/提供服务/完成工程的； </w:t>
      </w:r>
    </w:p>
    <w:p>
      <w:pPr>
        <w:adjustRightInd w:val="0"/>
        <w:snapToGrid w:val="0"/>
        <w:spacing w:line="360" w:lineRule="auto"/>
        <w:ind w:firstLine="420" w:firstLineChars="200"/>
        <w:rPr>
          <w:rFonts w:hint="eastAsia" w:ascii="宋体" w:hAnsi="宋体" w:cs="宋体"/>
          <w:color w:val="000000"/>
          <w:kern w:val="0"/>
          <w:szCs w:val="21"/>
          <w:u w:val="single"/>
        </w:rPr>
      </w:pPr>
      <w:r>
        <w:rPr>
          <w:rFonts w:hint="eastAsia" w:ascii="宋体" w:hAnsi="宋体" w:cs="宋体"/>
          <w:color w:val="000000"/>
          <w:kern w:val="0"/>
          <w:szCs w:val="21"/>
        </w:rPr>
        <w:t>（2）</w:t>
      </w:r>
      <w:r>
        <w:rPr>
          <w:rFonts w:hint="eastAsia" w:ascii="宋体" w:hAnsi="宋体" w:cs="宋体"/>
          <w:color w:val="000000"/>
          <w:kern w:val="0"/>
          <w:szCs w:val="21"/>
          <w:u w:val="single"/>
        </w:rPr>
        <w:t xml:space="preserve">                                                  </w:t>
      </w:r>
      <w:r>
        <w:rPr>
          <w:rFonts w:hint="eastAsia" w:ascii="宋体" w:hAnsi="宋体" w:cs="宋体"/>
          <w:color w:val="000000"/>
          <w:kern w:val="0"/>
          <w:szCs w:val="21"/>
        </w:rPr>
        <w:t>。</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（二）我方的保证范围是主合同约定的合同价款总额的</w:t>
      </w:r>
      <w:r>
        <w:rPr>
          <w:rFonts w:hint="eastAsia" w:ascii="宋体" w:hAnsi="宋体" w:cs="宋体"/>
          <w:color w:val="000000"/>
          <w:kern w:val="0"/>
          <w:szCs w:val="21"/>
          <w:u w:val="single"/>
        </w:rPr>
        <w:t xml:space="preserve">   </w:t>
      </w:r>
      <w:r>
        <w:rPr>
          <w:rFonts w:hint="eastAsia" w:ascii="宋体" w:hAnsi="宋体" w:cs="宋体"/>
          <w:color w:val="000000"/>
          <w:kern w:val="0"/>
          <w:szCs w:val="21"/>
        </w:rPr>
        <w:t>%数额为</w:t>
      </w:r>
      <w:r>
        <w:rPr>
          <w:rFonts w:hint="eastAsia" w:ascii="宋体" w:hAnsi="宋体" w:cs="宋体"/>
          <w:color w:val="000000"/>
          <w:kern w:val="0"/>
          <w:szCs w:val="21"/>
          <w:u w:val="single"/>
        </w:rPr>
        <w:t xml:space="preserve">      </w:t>
      </w:r>
      <w:r>
        <w:rPr>
          <w:rFonts w:hint="eastAsia" w:ascii="宋体" w:hAnsi="宋体" w:cs="宋体"/>
          <w:color w:val="000000"/>
          <w:kern w:val="0"/>
          <w:szCs w:val="21"/>
        </w:rPr>
        <w:t>元（大写</w:t>
      </w:r>
      <w:r>
        <w:rPr>
          <w:rFonts w:hint="eastAsia" w:ascii="宋体" w:hAnsi="宋体" w:cs="宋体"/>
          <w:color w:val="000000"/>
          <w:kern w:val="0"/>
          <w:szCs w:val="21"/>
          <w:u w:val="single"/>
        </w:rPr>
        <w:t xml:space="preserve">                  </w:t>
      </w:r>
      <w:r>
        <w:rPr>
          <w:rFonts w:hint="eastAsia" w:ascii="宋体" w:hAnsi="宋体" w:cs="宋体"/>
          <w:color w:val="000000"/>
          <w:kern w:val="0"/>
          <w:szCs w:val="21"/>
        </w:rPr>
        <w:t>），币种为</w:t>
      </w:r>
      <w:r>
        <w:rPr>
          <w:rFonts w:hint="eastAsia" w:ascii="宋体" w:hAnsi="宋体" w:cs="宋体"/>
          <w:color w:val="000000"/>
          <w:kern w:val="0"/>
          <w:szCs w:val="21"/>
          <w:u w:val="single"/>
        </w:rPr>
        <w:t xml:space="preserve">        </w:t>
      </w:r>
      <w:r>
        <w:rPr>
          <w:rFonts w:hint="eastAsia" w:ascii="宋体" w:hAnsi="宋体" w:cs="宋体"/>
          <w:color w:val="000000"/>
          <w:kern w:val="0"/>
          <w:szCs w:val="21"/>
        </w:rPr>
        <w:t>。（即主合同履约保证金金额）</w:t>
      </w:r>
    </w:p>
    <w:p>
      <w:pPr>
        <w:adjustRightInd w:val="0"/>
        <w:snapToGrid w:val="0"/>
        <w:spacing w:line="360" w:lineRule="auto"/>
        <w:ind w:firstLine="422" w:firstLineChars="200"/>
        <w:rPr>
          <w:rFonts w:hint="eastAsia" w:ascii="宋体" w:hAnsi="宋体" w:cs="宋体"/>
          <w:b/>
          <w:color w:val="000000"/>
          <w:kern w:val="0"/>
          <w:szCs w:val="21"/>
        </w:rPr>
      </w:pPr>
      <w:r>
        <w:rPr>
          <w:rFonts w:hint="eastAsia" w:ascii="宋体" w:hAnsi="宋体" w:cs="宋体"/>
          <w:b/>
          <w:color w:val="000000"/>
          <w:kern w:val="0"/>
          <w:szCs w:val="21"/>
        </w:rPr>
        <w:t xml:space="preserve">二、保证的方式及保证期间 </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 xml:space="preserve">我方保证的方式为：连带责任保证。 </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我方保证的期间为：自本合同生效之日起至供应商按照主合同约定的供货/完工期限届满后</w:t>
      </w:r>
      <w:r>
        <w:rPr>
          <w:rFonts w:hint="eastAsia" w:ascii="宋体" w:hAnsi="宋体" w:cs="宋体"/>
          <w:color w:val="000000"/>
          <w:kern w:val="0"/>
          <w:szCs w:val="21"/>
          <w:u w:val="single"/>
        </w:rPr>
        <w:t xml:space="preserve">    </w:t>
      </w:r>
      <w:r>
        <w:rPr>
          <w:rFonts w:hint="eastAsia" w:ascii="宋体" w:hAnsi="宋体" w:cs="宋体"/>
          <w:color w:val="000000"/>
          <w:kern w:val="0"/>
          <w:szCs w:val="21"/>
        </w:rPr>
        <w:t>日内。</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 xml:space="preserve">如果供应商未按主合同约定向贵方供应货物/提供服务/完成工程的，由我方在保证金额内向你方支付上述款项。 </w:t>
      </w:r>
    </w:p>
    <w:p>
      <w:pPr>
        <w:adjustRightInd w:val="0"/>
        <w:snapToGrid w:val="0"/>
        <w:spacing w:line="360" w:lineRule="auto"/>
        <w:ind w:firstLine="422" w:firstLineChars="200"/>
        <w:rPr>
          <w:rFonts w:hint="eastAsia" w:ascii="宋体" w:hAnsi="宋体" w:cs="宋体"/>
          <w:b/>
          <w:color w:val="000000"/>
          <w:kern w:val="0"/>
          <w:szCs w:val="21"/>
        </w:rPr>
      </w:pPr>
      <w:r>
        <w:rPr>
          <w:rFonts w:hint="eastAsia" w:ascii="宋体" w:hAnsi="宋体" w:cs="宋体"/>
          <w:b/>
          <w:color w:val="000000"/>
          <w:kern w:val="0"/>
          <w:szCs w:val="21"/>
        </w:rPr>
        <w:t>三、承担保证责任的程序</w:t>
      </w:r>
    </w:p>
    <w:p>
      <w:pPr>
        <w:adjustRightInd w:val="0"/>
        <w:snapToGrid w:val="0"/>
        <w:spacing w:line="360" w:lineRule="auto"/>
        <w:ind w:firstLine="420" w:firstLineChars="200"/>
        <w:rPr>
          <w:rFonts w:hint="eastAsia" w:ascii="宋体" w:hAnsi="宋体" w:cs="宋体"/>
          <w:b/>
          <w:color w:val="000000"/>
          <w:kern w:val="0"/>
          <w:szCs w:val="21"/>
        </w:rPr>
      </w:pPr>
      <w:r>
        <w:rPr>
          <w:rFonts w:hint="eastAsia" w:ascii="宋体" w:hAnsi="宋体" w:cs="宋体"/>
          <w:color w:val="000000"/>
          <w:kern w:val="0"/>
          <w:szCs w:val="21"/>
        </w:rPr>
        <w:t xml:space="preserve">1．你方要求我方承担保证责任的，应在本保函保证期间内向我方发出书面索赔通知。索赔通知应写明要求索赔的金额，支付款项应到达的帐号。并附有证明供应商违约事实的证明材料。 </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如果你方与供应商因货物质量问题产生争议，你方还需同时提供</w:t>
      </w:r>
      <w:r>
        <w:rPr>
          <w:rFonts w:hint="eastAsia" w:ascii="宋体" w:hAnsi="宋体" w:cs="宋体"/>
          <w:color w:val="000000"/>
          <w:kern w:val="0"/>
          <w:szCs w:val="21"/>
          <w:u w:val="single"/>
        </w:rPr>
        <w:t xml:space="preserve">        </w:t>
      </w:r>
      <w:r>
        <w:rPr>
          <w:rFonts w:hint="eastAsia" w:ascii="宋体" w:hAnsi="宋体" w:cs="宋体"/>
          <w:color w:val="000000"/>
          <w:kern w:val="0"/>
          <w:szCs w:val="21"/>
        </w:rPr>
        <w:t>部门出具的质量检测报告，或经诉讼（仲裁）程序裁决后的裁决书、调解书，本保证人即按照检测结果或裁决书、调解书决定是否承担保证责任。</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2．我方收到你方的书面索赔通知及相应证明材料，在</w:t>
      </w:r>
      <w:r>
        <w:rPr>
          <w:rFonts w:hint="eastAsia" w:ascii="宋体" w:hAnsi="宋体" w:cs="宋体"/>
          <w:color w:val="000000"/>
          <w:kern w:val="0"/>
          <w:szCs w:val="21"/>
          <w:u w:val="single"/>
        </w:rPr>
        <w:t xml:space="preserve">    </w:t>
      </w:r>
      <w:r>
        <w:rPr>
          <w:rFonts w:hint="eastAsia" w:ascii="宋体" w:hAnsi="宋体" w:cs="宋体"/>
          <w:color w:val="000000"/>
          <w:kern w:val="0"/>
          <w:szCs w:val="21"/>
        </w:rPr>
        <w:t>工作日内进行核定后按照本保函的承诺承担保证责任。</w:t>
      </w:r>
    </w:p>
    <w:p>
      <w:pPr>
        <w:adjustRightInd w:val="0"/>
        <w:snapToGrid w:val="0"/>
        <w:spacing w:line="360" w:lineRule="auto"/>
        <w:ind w:firstLine="422" w:firstLineChars="200"/>
        <w:rPr>
          <w:rFonts w:hint="eastAsia" w:ascii="宋体" w:hAnsi="宋体" w:cs="宋体"/>
          <w:b/>
          <w:color w:val="000000"/>
          <w:kern w:val="0"/>
          <w:szCs w:val="21"/>
        </w:rPr>
      </w:pPr>
      <w:r>
        <w:rPr>
          <w:rFonts w:hint="eastAsia" w:ascii="宋体" w:hAnsi="宋体" w:cs="宋体"/>
          <w:b/>
          <w:color w:val="000000"/>
          <w:kern w:val="0"/>
          <w:szCs w:val="21"/>
        </w:rPr>
        <w:t>四、保证责任的终止</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1．保证期间届满你方未向我方书面主张保证责任的，自保证期间届满次日起，我方保证责任自动终止。保证期间届满前，主合同约定的货物\工程\服务全部验收合格的，自验收合格日起，我方保证责任自动终止。</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2．我方按照本保函向你方履行了保证责任后，自我方向你方支付款项（支付款项从我方账户划出）之日起，保证责任即终止。</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3．按照法律法规的规定或出现应终止我方保证责任的其它情形的，我方在本保函项下的保证责任亦终止。</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4．你方与供应商修改主合同，加重我方保证责任的，我方对加重部分不承担保证责任，但该等修改事先经我方书面同意的除外；你方与供应商修改主合同履行期限，我方保证期间仍依修改前的履行期限计算，但该等修改事先经我方书面同意的除外。</w:t>
      </w:r>
    </w:p>
    <w:p>
      <w:pPr>
        <w:adjustRightInd w:val="0"/>
        <w:snapToGrid w:val="0"/>
        <w:spacing w:line="360" w:lineRule="auto"/>
        <w:ind w:firstLine="422" w:firstLineChars="200"/>
        <w:rPr>
          <w:rFonts w:hint="eastAsia" w:ascii="宋体" w:hAnsi="宋体" w:cs="宋体"/>
          <w:b/>
          <w:color w:val="000000"/>
          <w:kern w:val="0"/>
          <w:szCs w:val="21"/>
        </w:rPr>
      </w:pPr>
      <w:r>
        <w:rPr>
          <w:rFonts w:hint="eastAsia" w:ascii="宋体" w:hAnsi="宋体" w:cs="宋体"/>
          <w:b/>
          <w:color w:val="000000"/>
          <w:kern w:val="0"/>
          <w:szCs w:val="21"/>
        </w:rPr>
        <w:t>五、免责条款</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1．因你方违反主合同约定致使供应商不能履行义务的，我方不承担保证责任。</w:t>
      </w:r>
    </w:p>
    <w:p>
      <w:pPr>
        <w:adjustRightInd w:val="0"/>
        <w:snapToGrid w:val="0"/>
        <w:spacing w:line="360" w:lineRule="auto"/>
        <w:ind w:firstLine="420" w:firstLineChars="200"/>
        <w:rPr>
          <w:rFonts w:hint="eastAsia" w:ascii="宋体" w:hAnsi="宋体" w:cs="宋体"/>
          <w:b/>
          <w:color w:val="000000"/>
          <w:kern w:val="0"/>
          <w:szCs w:val="21"/>
        </w:rPr>
      </w:pPr>
      <w:r>
        <w:rPr>
          <w:rFonts w:hint="eastAsia" w:ascii="宋体" w:hAnsi="宋体" w:cs="宋体"/>
          <w:color w:val="000000"/>
          <w:kern w:val="0"/>
          <w:szCs w:val="21"/>
        </w:rPr>
        <w:t>2．依照法律法规的规定或你方与供应商的另行约定，全部或者部分免除供应商应缴纳的保证金义务的，我方亦免除相应的保证责任。</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3．因不可抗力造成供应商不能履行供货义务的，我方不承担保证责任。</w:t>
      </w:r>
    </w:p>
    <w:p>
      <w:pPr>
        <w:adjustRightInd w:val="0"/>
        <w:snapToGrid w:val="0"/>
        <w:spacing w:line="360" w:lineRule="auto"/>
        <w:ind w:firstLine="422" w:firstLineChars="200"/>
        <w:rPr>
          <w:rFonts w:hint="eastAsia" w:ascii="宋体" w:hAnsi="宋体" w:cs="宋体"/>
          <w:b/>
          <w:color w:val="000000"/>
          <w:kern w:val="0"/>
          <w:szCs w:val="21"/>
        </w:rPr>
      </w:pPr>
      <w:r>
        <w:rPr>
          <w:rFonts w:hint="eastAsia" w:ascii="宋体" w:hAnsi="宋体" w:cs="宋体"/>
          <w:b/>
          <w:color w:val="000000"/>
          <w:kern w:val="0"/>
          <w:szCs w:val="21"/>
        </w:rPr>
        <w:t>六、争议的解决</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因本保函发生的纠纷，由你我双方协商解决，协商不成的，通过诉讼程序解决，诉讼管辖地法院为</w:t>
      </w:r>
      <w:r>
        <w:rPr>
          <w:rFonts w:hint="eastAsia" w:ascii="宋体" w:hAnsi="宋体" w:cs="宋体"/>
          <w:color w:val="000000"/>
          <w:kern w:val="0"/>
          <w:szCs w:val="21"/>
          <w:u w:val="single"/>
        </w:rPr>
        <w:t xml:space="preserve">          </w:t>
      </w:r>
      <w:r>
        <w:rPr>
          <w:rFonts w:hint="eastAsia" w:ascii="宋体" w:hAnsi="宋体" w:cs="宋体"/>
          <w:color w:val="000000"/>
          <w:kern w:val="0"/>
          <w:szCs w:val="21"/>
        </w:rPr>
        <w:t>法院。</w:t>
      </w:r>
    </w:p>
    <w:p>
      <w:pPr>
        <w:adjustRightInd w:val="0"/>
        <w:snapToGrid w:val="0"/>
        <w:spacing w:line="360" w:lineRule="auto"/>
        <w:ind w:firstLine="422" w:firstLineChars="200"/>
        <w:rPr>
          <w:rFonts w:hint="eastAsia" w:ascii="宋体" w:hAnsi="宋体" w:cs="宋体"/>
          <w:b/>
          <w:color w:val="000000"/>
          <w:kern w:val="0"/>
          <w:szCs w:val="21"/>
        </w:rPr>
      </w:pPr>
      <w:r>
        <w:rPr>
          <w:rFonts w:hint="eastAsia" w:ascii="宋体" w:hAnsi="宋体" w:cs="宋体"/>
          <w:b/>
          <w:color w:val="000000"/>
          <w:kern w:val="0"/>
          <w:szCs w:val="21"/>
        </w:rPr>
        <w:t xml:space="preserve">七、保函的生效 </w:t>
      </w:r>
    </w:p>
    <w:p>
      <w:pPr>
        <w:adjustRightInd w:val="0"/>
        <w:snapToGrid w:val="0"/>
        <w:spacing w:line="360" w:lineRule="auto"/>
        <w:ind w:firstLine="420" w:firstLineChars="200"/>
        <w:rPr>
          <w:rFonts w:hint="eastAsia" w:ascii="宋体" w:hAnsi="宋体" w:cs="宋体"/>
          <w:color w:val="000000"/>
          <w:kern w:val="0"/>
          <w:szCs w:val="21"/>
        </w:rPr>
      </w:pPr>
      <w:r>
        <w:rPr>
          <w:rFonts w:hint="eastAsia" w:ascii="宋体" w:hAnsi="宋体" w:cs="宋体"/>
          <w:color w:val="000000"/>
          <w:kern w:val="0"/>
          <w:szCs w:val="21"/>
        </w:rPr>
        <w:t xml:space="preserve">本保函自我方加盖公章之日起生效。 </w:t>
      </w:r>
    </w:p>
    <w:p>
      <w:pPr>
        <w:tabs>
          <w:tab w:val="left" w:pos="2850"/>
        </w:tabs>
        <w:adjustRightInd w:val="0"/>
        <w:snapToGrid w:val="0"/>
        <w:spacing w:line="360" w:lineRule="auto"/>
        <w:rPr>
          <w:rFonts w:hint="eastAsia" w:ascii="宋体" w:hAnsi="宋体" w:cs="宋体"/>
          <w:color w:val="000000"/>
          <w:kern w:val="0"/>
          <w:szCs w:val="21"/>
        </w:rPr>
      </w:pPr>
      <w:r>
        <w:rPr>
          <w:rFonts w:hint="eastAsia" w:ascii="宋体" w:hAnsi="宋体" w:cs="宋体"/>
          <w:color w:val="000000"/>
          <w:kern w:val="0"/>
          <w:szCs w:val="21"/>
        </w:rPr>
        <w:t xml:space="preserve"> </w:t>
      </w:r>
      <w:r>
        <w:rPr>
          <w:rFonts w:ascii="宋体" w:hAnsi="宋体" w:cs="宋体"/>
          <w:color w:val="000000"/>
          <w:kern w:val="0"/>
          <w:szCs w:val="21"/>
        </w:rPr>
        <w:tab/>
      </w:r>
      <w:r>
        <w:rPr>
          <w:rFonts w:hint="eastAsia" w:ascii="宋体" w:hAnsi="宋体" w:cs="宋体"/>
          <w:color w:val="000000"/>
          <w:kern w:val="0"/>
          <w:szCs w:val="21"/>
        </w:rPr>
        <w:t xml:space="preserve">          保证人：（公章） </w:t>
      </w:r>
    </w:p>
    <w:p>
      <w:pPr>
        <w:rPr>
          <w:rFonts w:hint="eastAsia" w:ascii="宋体" w:hAnsi="宋体" w:cs="宋体"/>
          <w:color w:val="000000"/>
          <w:kern w:val="0"/>
          <w:szCs w:val="21"/>
        </w:rPr>
      </w:pPr>
      <w:r>
        <w:rPr>
          <w:rFonts w:hint="eastAsia" w:ascii="宋体" w:hAnsi="宋体" w:cs="宋体"/>
          <w:color w:val="000000"/>
          <w:kern w:val="0"/>
          <w:szCs w:val="21"/>
        </w:rPr>
        <w:t xml:space="preserve">                                    </w:t>
      </w:r>
      <w:r>
        <w:rPr>
          <w:rFonts w:hint="eastAsia" w:ascii="宋体" w:hAnsi="宋体" w:cs="宋体"/>
          <w:color w:val="000000"/>
          <w:kern w:val="0"/>
          <w:szCs w:val="21"/>
          <w:u w:val="single"/>
        </w:rPr>
        <w:t xml:space="preserve">       </w:t>
      </w:r>
      <w:r>
        <w:rPr>
          <w:rFonts w:hint="eastAsia" w:ascii="宋体" w:hAnsi="宋体" w:cs="宋体"/>
          <w:color w:val="000000"/>
          <w:kern w:val="0"/>
          <w:szCs w:val="21"/>
        </w:rPr>
        <w:t xml:space="preserve"> 年</w:t>
      </w:r>
      <w:r>
        <w:rPr>
          <w:rFonts w:hint="eastAsia" w:ascii="宋体" w:hAnsi="宋体" w:cs="宋体"/>
          <w:color w:val="000000"/>
          <w:kern w:val="0"/>
          <w:szCs w:val="21"/>
          <w:u w:val="single"/>
        </w:rPr>
        <w:t xml:space="preserve">   </w:t>
      </w:r>
      <w:r>
        <w:rPr>
          <w:rFonts w:hint="eastAsia" w:ascii="宋体" w:hAnsi="宋体" w:cs="宋体"/>
          <w:color w:val="000000"/>
          <w:kern w:val="0"/>
          <w:szCs w:val="21"/>
        </w:rPr>
        <w:t>月</w:t>
      </w:r>
      <w:r>
        <w:rPr>
          <w:rFonts w:hint="eastAsia" w:ascii="宋体" w:hAnsi="宋体" w:cs="宋体"/>
          <w:color w:val="000000"/>
          <w:kern w:val="0"/>
          <w:szCs w:val="21"/>
          <w:u w:val="single"/>
        </w:rPr>
        <w:t xml:space="preserve">  </w:t>
      </w:r>
      <w:r>
        <w:rPr>
          <w:rFonts w:hint="eastAsia" w:ascii="宋体" w:hAnsi="宋体" w:cs="宋体"/>
          <w:color w:val="000000"/>
          <w:kern w:val="0"/>
          <w:szCs w:val="21"/>
        </w:rPr>
        <w:t xml:space="preserve"> 日</w:t>
      </w: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spacing w:line="360" w:lineRule="auto"/>
        <w:rPr>
          <w:rFonts w:hint="eastAsia" w:ascii="宋体" w:hAnsi="宋体" w:cs="宋体"/>
          <w:b/>
          <w:bCs/>
          <w:sz w:val="28"/>
          <w:szCs w:val="28"/>
        </w:rPr>
      </w:pPr>
    </w:p>
    <w:p>
      <w:pPr>
        <w:jc w:val="both"/>
        <w:rPr>
          <w:rFonts w:hint="eastAsia" w:ascii="宋体" w:hAnsi="宋体" w:cs="宋体"/>
          <w:b/>
          <w:bCs/>
          <w:sz w:val="36"/>
          <w:szCs w:val="36"/>
        </w:rPr>
      </w:pPr>
    </w:p>
    <w:p>
      <w:pPr>
        <w:jc w:val="center"/>
        <w:rPr>
          <w:rFonts w:ascii="宋体" w:cs="Times New Roman"/>
          <w:b/>
          <w:bCs/>
          <w:sz w:val="36"/>
          <w:szCs w:val="36"/>
        </w:rPr>
      </w:pPr>
      <w:r>
        <w:rPr>
          <w:rFonts w:hint="eastAsia" w:ascii="宋体" w:hAnsi="宋体" w:cs="宋体"/>
          <w:b/>
          <w:bCs/>
          <w:sz w:val="36"/>
          <w:szCs w:val="36"/>
        </w:rPr>
        <w:t>第三章</w:t>
      </w:r>
      <w:r>
        <w:rPr>
          <w:rFonts w:hint="eastAsia" w:ascii="宋体" w:hAnsi="宋体" w:cs="宋体"/>
          <w:b/>
          <w:bCs/>
          <w:sz w:val="36"/>
          <w:szCs w:val="36"/>
          <w:lang w:val="en-US" w:eastAsia="zh-CN"/>
        </w:rPr>
        <w:t xml:space="preserve">  </w:t>
      </w:r>
      <w:r>
        <w:rPr>
          <w:rFonts w:hint="eastAsia" w:ascii="宋体" w:hAnsi="宋体" w:cs="宋体"/>
          <w:b/>
          <w:bCs/>
          <w:sz w:val="36"/>
          <w:szCs w:val="36"/>
        </w:rPr>
        <w:t>政府采购合同格式</w:t>
      </w:r>
    </w:p>
    <w:p>
      <w:pPr>
        <w:spacing w:line="360" w:lineRule="auto"/>
        <w:ind w:right="560"/>
        <w:rPr>
          <w:rFonts w:ascii="黑体" w:hAnsi="黑体" w:eastAsia="黑体" w:cs="Times New Roman"/>
          <w:b/>
          <w:bCs/>
          <w:sz w:val="28"/>
          <w:szCs w:val="28"/>
        </w:rPr>
      </w:pPr>
      <w:r>
        <w:rPr>
          <w:rFonts w:hint="eastAsia" w:ascii="黑体" w:hAnsi="黑体" w:eastAsia="黑体" w:cs="宋体"/>
          <w:b/>
          <w:bCs/>
          <w:sz w:val="28"/>
          <w:szCs w:val="28"/>
        </w:rPr>
        <w:t>一、政府采购合同协议书</w:t>
      </w:r>
    </w:p>
    <w:p>
      <w:pPr>
        <w:spacing w:before="326" w:after="163" w:line="360" w:lineRule="auto"/>
        <w:ind w:right="561"/>
        <w:jc w:val="center"/>
        <w:rPr>
          <w:rFonts w:ascii="黑体" w:hAnsi="黑体" w:eastAsia="黑体" w:cs="Times New Roman"/>
          <w:sz w:val="30"/>
          <w:szCs w:val="30"/>
        </w:rPr>
      </w:pPr>
      <w:r>
        <w:rPr>
          <w:rFonts w:hint="eastAsia" w:ascii="黑体" w:hAnsi="黑体" w:eastAsia="黑体" w:cs="宋体"/>
          <w:b/>
          <w:bCs/>
          <w:sz w:val="30"/>
          <w:szCs w:val="30"/>
        </w:rPr>
        <w:t>政府采购合同协议书</w:t>
      </w:r>
    </w:p>
    <w:p>
      <w:pPr>
        <w:spacing w:line="360" w:lineRule="auto"/>
        <w:ind w:right="560" w:firstLine="5145"/>
        <w:rPr>
          <w:rFonts w:ascii="宋体" w:cs="Times New Roman"/>
          <w:b/>
          <w:bCs/>
          <w:u w:val="single"/>
        </w:rPr>
      </w:pPr>
      <w:r>
        <w:rPr>
          <w:rFonts w:hint="eastAsia" w:ascii="宋体" w:hAnsi="宋体" w:cs="宋体"/>
        </w:rPr>
        <w:t>采购合同编号：</w:t>
      </w:r>
      <w:r>
        <w:rPr>
          <w:rFonts w:hint="eastAsia" w:ascii="宋体" w:hAnsi="宋体" w:cs="宋体"/>
          <w:u w:val="single"/>
        </w:rPr>
        <w:t xml:space="preserve">                      </w:t>
      </w:r>
    </w:p>
    <w:p>
      <w:pPr>
        <w:spacing w:line="360" w:lineRule="auto"/>
        <w:jc w:val="center"/>
        <w:rPr>
          <w:rFonts w:ascii="宋体" w:cs="Times New Roman"/>
          <w:b/>
          <w:bCs/>
        </w:rPr>
      </w:pPr>
    </w:p>
    <w:p>
      <w:pPr>
        <w:spacing w:line="360" w:lineRule="auto"/>
        <w:ind w:firstLine="420" w:firstLineChars="200"/>
        <w:rPr>
          <w:rFonts w:ascii="宋体" w:cs="Times New Roman"/>
        </w:rPr>
      </w:pPr>
      <w:r>
        <w:rPr>
          <w:rFonts w:hint="eastAsia" w:ascii="宋体" w:hAnsi="宋体" w:cs="宋体"/>
        </w:rPr>
        <w:t>采购人（全称）：</w:t>
      </w:r>
      <w:r>
        <w:rPr>
          <w:rFonts w:hint="eastAsia" w:ascii="宋体" w:hAnsi="宋体" w:cs="宋体"/>
          <w:u w:val="single"/>
        </w:rPr>
        <w:t xml:space="preserve">                    </w:t>
      </w:r>
      <w:r>
        <w:rPr>
          <w:rFonts w:hint="eastAsia" w:ascii="宋体" w:hAnsi="宋体" w:cs="宋体"/>
        </w:rPr>
        <w:t>（甲方）</w:t>
      </w:r>
    </w:p>
    <w:p>
      <w:pPr>
        <w:spacing w:line="360" w:lineRule="auto"/>
        <w:ind w:firstLine="420" w:firstLineChars="200"/>
        <w:rPr>
          <w:rFonts w:ascii="宋体" w:cs="Times New Roman"/>
        </w:rPr>
      </w:pPr>
      <w:r>
        <w:rPr>
          <w:rFonts w:hint="eastAsia" w:ascii="宋体" w:hAnsi="宋体" w:cs="宋体"/>
        </w:rPr>
        <w:t>供应商（全称）：</w:t>
      </w:r>
      <w:r>
        <w:rPr>
          <w:rFonts w:hint="eastAsia" w:ascii="宋体" w:hAnsi="宋体" w:cs="宋体"/>
          <w:u w:val="single"/>
        </w:rPr>
        <w:t xml:space="preserve">                    </w:t>
      </w:r>
      <w:r>
        <w:rPr>
          <w:rFonts w:hint="eastAsia" w:ascii="宋体" w:hAnsi="宋体" w:cs="宋体"/>
        </w:rPr>
        <w:t>（乙方）</w:t>
      </w:r>
    </w:p>
    <w:p>
      <w:pPr>
        <w:spacing w:line="360" w:lineRule="auto"/>
        <w:ind w:left="420"/>
        <w:rPr>
          <w:rFonts w:ascii="宋体" w:cs="Times New Roman"/>
        </w:rPr>
      </w:pPr>
    </w:p>
    <w:p>
      <w:pPr>
        <w:spacing w:line="360" w:lineRule="auto"/>
        <w:ind w:firstLine="420"/>
        <w:rPr>
          <w:rFonts w:ascii="宋体" w:cs="Times New Roman"/>
        </w:rPr>
      </w:pPr>
      <w:r>
        <w:rPr>
          <w:rFonts w:hint="eastAsia" w:ascii="宋体" w:hAnsi="宋体" w:cs="宋体"/>
        </w:rPr>
        <w:t>为了保护甲、乙双方合法权益，根据《中华人民共和国合同法》、《中华人民共和国政府采购法》及其他有关法律、法规、规章，双方签订本合同协议书。</w:t>
      </w:r>
    </w:p>
    <w:p>
      <w:pPr>
        <w:spacing w:line="360" w:lineRule="auto"/>
        <w:ind w:firstLine="422"/>
        <w:rPr>
          <w:rFonts w:ascii="宋体" w:cs="Times New Roman"/>
          <w:b/>
          <w:bCs/>
        </w:rPr>
      </w:pPr>
      <w:r>
        <w:rPr>
          <w:rFonts w:ascii="宋体" w:hAnsi="宋体" w:cs="宋体"/>
          <w:b/>
          <w:bCs/>
        </w:rPr>
        <w:t>1.</w:t>
      </w:r>
      <w:r>
        <w:rPr>
          <w:rFonts w:hint="eastAsia" w:ascii="宋体" w:hAnsi="宋体" w:cs="宋体"/>
          <w:b/>
          <w:bCs/>
        </w:rPr>
        <w:t>项目信息</w:t>
      </w:r>
    </w:p>
    <w:p>
      <w:pPr>
        <w:spacing w:line="360" w:lineRule="auto"/>
        <w:ind w:left="420"/>
        <w:rPr>
          <w:rFonts w:ascii="宋体" w:cs="Times New Roman"/>
          <w:u w:val="single"/>
        </w:rPr>
      </w:pPr>
      <w:r>
        <w:rPr>
          <w:rFonts w:hint="eastAsia" w:ascii="宋体" w:hAnsi="宋体" w:cs="宋体"/>
        </w:rPr>
        <w:t>（</w:t>
      </w:r>
      <w:r>
        <w:rPr>
          <w:rFonts w:ascii="宋体" w:hAnsi="宋体" w:cs="宋体"/>
        </w:rPr>
        <w:t>1</w:t>
      </w:r>
      <w:r>
        <w:rPr>
          <w:rFonts w:hint="eastAsia" w:ascii="宋体" w:hAnsi="宋体" w:cs="宋体"/>
        </w:rPr>
        <w:t>）采购项目名称：</w:t>
      </w:r>
      <w:r>
        <w:rPr>
          <w:rFonts w:hint="eastAsia" w:ascii="宋体" w:hAnsi="宋体" w:cs="宋体"/>
          <w:u w:val="single"/>
        </w:rPr>
        <w:t xml:space="preserve">                            </w:t>
      </w:r>
    </w:p>
    <w:p>
      <w:pPr>
        <w:spacing w:line="360" w:lineRule="auto"/>
        <w:ind w:left="420"/>
        <w:rPr>
          <w:rFonts w:ascii="宋体" w:cs="Times New Roman"/>
        </w:rPr>
      </w:pPr>
      <w:r>
        <w:rPr>
          <w:rFonts w:hint="eastAsia" w:ascii="宋体" w:hAnsi="宋体" w:cs="宋体"/>
        </w:rPr>
        <w:t>（</w:t>
      </w:r>
      <w:r>
        <w:rPr>
          <w:rFonts w:ascii="宋体" w:hAnsi="宋体" w:cs="宋体"/>
        </w:rPr>
        <w:t>2</w:t>
      </w:r>
      <w:r>
        <w:rPr>
          <w:rFonts w:hint="eastAsia" w:ascii="宋体" w:hAnsi="宋体" w:cs="宋体"/>
        </w:rPr>
        <w:t>）采购计划编号：</w:t>
      </w:r>
      <w:r>
        <w:rPr>
          <w:rFonts w:hint="eastAsia" w:ascii="宋体" w:hAnsi="宋体" w:cs="宋体"/>
          <w:u w:val="single"/>
        </w:rPr>
        <w:t xml:space="preserve">                            </w:t>
      </w:r>
    </w:p>
    <w:p>
      <w:pPr>
        <w:spacing w:line="360" w:lineRule="auto"/>
        <w:ind w:firstLine="420"/>
        <w:rPr>
          <w:rFonts w:ascii="宋体" w:cs="Times New Roman"/>
        </w:rPr>
      </w:pPr>
      <w:r>
        <w:rPr>
          <w:rFonts w:hint="eastAsia" w:ascii="宋体" w:hAnsi="宋体" w:cs="宋体"/>
        </w:rPr>
        <w:t>（</w:t>
      </w:r>
      <w:r>
        <w:rPr>
          <w:rFonts w:ascii="宋体" w:hAnsi="宋体" w:cs="宋体"/>
        </w:rPr>
        <w:t>3</w:t>
      </w:r>
      <w:r>
        <w:rPr>
          <w:rFonts w:hint="eastAsia" w:ascii="宋体" w:hAnsi="宋体" w:cs="宋体"/>
        </w:rPr>
        <w:t>）项目内容：</w:t>
      </w:r>
      <w:r>
        <w:rPr>
          <w:rFonts w:hint="eastAsia" w:ascii="宋体" w:hAnsi="宋体" w:cs="宋体"/>
          <w:u w:val="single"/>
        </w:rPr>
        <w:t xml:space="preserve">                                </w:t>
      </w:r>
    </w:p>
    <w:p>
      <w:pPr>
        <w:spacing w:line="360" w:lineRule="auto"/>
        <w:ind w:firstLine="420" w:firstLineChars="200"/>
        <w:rPr>
          <w:rFonts w:ascii="宋体" w:cs="Times New Roman"/>
        </w:rPr>
      </w:pPr>
      <w:r>
        <w:rPr>
          <w:rFonts w:hint="eastAsia" w:ascii="宋体" w:hAnsi="宋体" w:cs="宋体"/>
        </w:rPr>
        <w:t>（工程项目）承包范围：</w:t>
      </w:r>
      <w:r>
        <w:rPr>
          <w:rFonts w:hint="eastAsia" w:ascii="宋体" w:hAnsi="宋体" w:cs="宋体"/>
          <w:u w:val="single"/>
        </w:rPr>
        <w:t xml:space="preserve">                </w:t>
      </w:r>
      <w:r>
        <w:rPr>
          <w:rFonts w:hint="eastAsia" w:ascii="宋体" w:hAnsi="宋体" w:cs="宋体"/>
        </w:rPr>
        <w:t>项目经理：</w:t>
      </w:r>
      <w:r>
        <w:rPr>
          <w:rFonts w:hint="eastAsia" w:ascii="宋体" w:hAnsi="宋体" w:cs="宋体"/>
          <w:u w:val="single"/>
        </w:rPr>
        <w:t xml:space="preserve">            </w:t>
      </w:r>
      <w:r>
        <w:rPr>
          <w:rFonts w:hint="eastAsia" w:ascii="宋体" w:hAnsi="宋体" w:cs="宋体"/>
        </w:rPr>
        <w:t>。</w:t>
      </w:r>
    </w:p>
    <w:p>
      <w:pPr>
        <w:spacing w:line="360" w:lineRule="auto"/>
        <w:ind w:firstLine="413"/>
        <w:rPr>
          <w:rFonts w:ascii="宋体" w:cs="Times New Roman"/>
          <w:b/>
          <w:bCs/>
        </w:rPr>
      </w:pPr>
      <w:r>
        <w:rPr>
          <w:rFonts w:ascii="宋体" w:hAnsi="宋体" w:cs="宋体"/>
          <w:b/>
          <w:bCs/>
        </w:rPr>
        <w:t>2.</w:t>
      </w:r>
      <w:r>
        <w:rPr>
          <w:rFonts w:hint="eastAsia" w:ascii="宋体" w:hAnsi="宋体" w:cs="宋体"/>
          <w:b/>
          <w:bCs/>
        </w:rPr>
        <w:t>合同金额</w:t>
      </w:r>
    </w:p>
    <w:p>
      <w:pPr>
        <w:spacing w:line="360" w:lineRule="auto"/>
        <w:ind w:firstLine="420"/>
        <w:rPr>
          <w:rFonts w:ascii="宋体" w:cs="Times New Roman"/>
        </w:rPr>
      </w:pPr>
      <w:r>
        <w:rPr>
          <w:rFonts w:hint="eastAsia" w:ascii="宋体" w:hAnsi="宋体" w:cs="宋体"/>
        </w:rPr>
        <w:t>（</w:t>
      </w:r>
      <w:r>
        <w:rPr>
          <w:rFonts w:ascii="宋体" w:hAnsi="宋体" w:cs="宋体"/>
        </w:rPr>
        <w:t>1</w:t>
      </w:r>
      <w:r>
        <w:rPr>
          <w:rFonts w:hint="eastAsia" w:ascii="宋体" w:hAnsi="宋体" w:cs="宋体"/>
        </w:rPr>
        <w:t>）合同金额小写：</w:t>
      </w:r>
      <w:r>
        <w:rPr>
          <w:rFonts w:hint="eastAsia" w:ascii="宋体" w:hAnsi="宋体" w:cs="宋体"/>
          <w:u w:val="single"/>
        </w:rPr>
        <w:t xml:space="preserve">                           </w:t>
      </w:r>
    </w:p>
    <w:p>
      <w:pPr>
        <w:spacing w:line="360" w:lineRule="auto"/>
        <w:ind w:firstLine="1785" w:firstLineChars="850"/>
        <w:rPr>
          <w:rFonts w:ascii="宋体" w:cs="Times New Roman"/>
          <w:b/>
          <w:bCs/>
          <w:u w:val="single"/>
        </w:rPr>
      </w:pPr>
      <w:r>
        <w:rPr>
          <w:rFonts w:hint="eastAsia" w:ascii="宋体" w:hAnsi="宋体" w:cs="宋体"/>
        </w:rPr>
        <w:t>大写：</w:t>
      </w:r>
      <w:r>
        <w:rPr>
          <w:rFonts w:hint="eastAsia" w:ascii="宋体" w:hAnsi="宋体" w:cs="宋体"/>
          <w:u w:val="single"/>
        </w:rPr>
        <w:t xml:space="preserve">                           </w:t>
      </w:r>
    </w:p>
    <w:p>
      <w:pPr>
        <w:spacing w:line="360" w:lineRule="auto"/>
        <w:ind w:firstLine="420"/>
        <w:rPr>
          <w:rFonts w:ascii="宋体" w:cs="Times New Roman"/>
        </w:rPr>
      </w:pPr>
      <w:r>
        <w:rPr>
          <w:rFonts w:hint="eastAsia" w:ascii="宋体" w:hAnsi="宋体" w:cs="宋体"/>
        </w:rPr>
        <w:t>（</w:t>
      </w:r>
      <w:r>
        <w:rPr>
          <w:rFonts w:ascii="宋体" w:hAnsi="宋体" w:cs="宋体"/>
        </w:rPr>
        <w:t>2</w:t>
      </w:r>
      <w:r>
        <w:rPr>
          <w:rFonts w:hint="eastAsia" w:ascii="宋体" w:hAnsi="宋体" w:cs="宋体"/>
        </w:rPr>
        <w:t>）具体标的见附件。</w:t>
      </w:r>
    </w:p>
    <w:p>
      <w:pPr>
        <w:spacing w:line="360" w:lineRule="auto"/>
        <w:ind w:firstLine="420"/>
        <w:rPr>
          <w:rFonts w:ascii="宋体" w:cs="Times New Roman"/>
        </w:rPr>
      </w:pPr>
      <w:r>
        <w:rPr>
          <w:rFonts w:hint="eastAsia" w:ascii="宋体" w:hAnsi="宋体" w:cs="宋体"/>
        </w:rPr>
        <w:t>（</w:t>
      </w:r>
      <w:r>
        <w:rPr>
          <w:rFonts w:ascii="宋体" w:hAnsi="宋体" w:cs="宋体"/>
        </w:rPr>
        <w:t>3</w:t>
      </w:r>
      <w:r>
        <w:rPr>
          <w:rFonts w:hint="eastAsia" w:ascii="宋体" w:hAnsi="宋体" w:cs="宋体"/>
        </w:rPr>
        <w:t>）合同价格形式：</w:t>
      </w:r>
      <w:r>
        <w:rPr>
          <w:rFonts w:hint="eastAsia" w:ascii="宋体" w:hAnsi="宋体" w:cs="宋体"/>
          <w:u w:val="single"/>
        </w:rPr>
        <w:t xml:space="preserve">  固定总价合同  </w:t>
      </w:r>
      <w:r>
        <w:rPr>
          <w:rFonts w:hint="eastAsia" w:ascii="宋体" w:hAnsi="宋体" w:cs="宋体"/>
        </w:rPr>
        <w:t>。</w:t>
      </w:r>
    </w:p>
    <w:p>
      <w:pPr>
        <w:spacing w:line="360" w:lineRule="auto"/>
        <w:ind w:firstLine="422"/>
        <w:rPr>
          <w:rFonts w:ascii="宋体" w:cs="Times New Roman"/>
          <w:u w:val="single"/>
        </w:rPr>
      </w:pPr>
      <w:r>
        <w:rPr>
          <w:rFonts w:ascii="宋体" w:hAnsi="宋体" w:cs="宋体"/>
          <w:b/>
          <w:bCs/>
        </w:rPr>
        <w:t>3.</w:t>
      </w:r>
      <w:r>
        <w:rPr>
          <w:rFonts w:hint="eastAsia" w:ascii="宋体" w:hAnsi="宋体" w:cs="宋体"/>
          <w:b/>
          <w:bCs/>
        </w:rPr>
        <w:t>履行合同的时间、地点及方式</w:t>
      </w:r>
    </w:p>
    <w:p>
      <w:pPr>
        <w:spacing w:line="360" w:lineRule="auto"/>
        <w:ind w:firstLine="630"/>
        <w:rPr>
          <w:rFonts w:ascii="宋体" w:cs="Times New Roman"/>
        </w:rPr>
      </w:pPr>
      <w:r>
        <w:rPr>
          <w:rFonts w:hint="eastAsia" w:ascii="宋体" w:hAnsi="宋体" w:cs="宋体"/>
        </w:rPr>
        <w:t>起始日期：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日，完成日期：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日。总日历天数：</w:t>
      </w:r>
      <w:r>
        <w:rPr>
          <w:rFonts w:hint="eastAsia" w:ascii="宋体" w:hAnsi="宋体" w:cs="宋体"/>
          <w:u w:val="single"/>
        </w:rPr>
        <w:t xml:space="preserve">        </w:t>
      </w:r>
      <w:r>
        <w:rPr>
          <w:rFonts w:hint="eastAsia" w:ascii="宋体" w:hAnsi="宋体" w:cs="宋体"/>
        </w:rPr>
        <w:t>天。</w:t>
      </w:r>
    </w:p>
    <w:p>
      <w:pPr>
        <w:spacing w:line="360" w:lineRule="auto"/>
        <w:ind w:firstLine="630"/>
        <w:rPr>
          <w:rFonts w:ascii="宋体" w:cs="Times New Roman"/>
          <w:u w:val="single"/>
        </w:rPr>
      </w:pPr>
      <w:r>
        <w:rPr>
          <w:rFonts w:hint="eastAsia" w:ascii="宋体" w:hAnsi="宋体" w:cs="宋体"/>
        </w:rPr>
        <w:t>地点</w:t>
      </w:r>
      <w:r>
        <w:rPr>
          <w:rFonts w:hint="eastAsia" w:ascii="宋体" w:hAnsi="宋体" w:cs="宋体"/>
          <w:bCs/>
        </w:rPr>
        <w:t>：</w:t>
      </w:r>
      <w:r>
        <w:rPr>
          <w:rFonts w:hint="eastAsia" w:ascii="宋体" w:hAnsi="宋体" w:cs="宋体"/>
          <w:bCs/>
          <w:u w:val="single"/>
        </w:rPr>
        <w:t xml:space="preserve">                            </w:t>
      </w:r>
    </w:p>
    <w:p>
      <w:pPr>
        <w:spacing w:line="360" w:lineRule="auto"/>
        <w:ind w:firstLine="630"/>
        <w:rPr>
          <w:rFonts w:ascii="宋体" w:cs="Times New Roman"/>
          <w:u w:val="single"/>
        </w:rPr>
      </w:pPr>
      <w:r>
        <w:rPr>
          <w:rFonts w:hint="eastAsia" w:ascii="宋体" w:hAnsi="宋体" w:cs="宋体"/>
        </w:rPr>
        <w:t>方式：</w:t>
      </w:r>
      <w:r>
        <w:rPr>
          <w:rFonts w:hint="eastAsia" w:ascii="宋体" w:hAnsi="宋体" w:cs="宋体"/>
          <w:u w:val="single"/>
        </w:rPr>
        <w:t xml:space="preserve">                            </w:t>
      </w:r>
    </w:p>
    <w:p>
      <w:pPr>
        <w:spacing w:line="360" w:lineRule="auto"/>
        <w:ind w:firstLine="422"/>
        <w:rPr>
          <w:rFonts w:ascii="宋体" w:cs="Times New Roman"/>
          <w:b/>
          <w:bCs/>
        </w:rPr>
      </w:pPr>
      <w:r>
        <w:rPr>
          <w:rFonts w:ascii="宋体" w:hAnsi="宋体" w:cs="宋体"/>
          <w:b/>
          <w:bCs/>
        </w:rPr>
        <w:t>4.</w:t>
      </w:r>
      <w:r>
        <w:rPr>
          <w:rFonts w:hint="eastAsia" w:ascii="宋体" w:hAnsi="宋体" w:cs="宋体"/>
          <w:b/>
          <w:bCs/>
        </w:rPr>
        <w:t>付款：</w:t>
      </w:r>
    </w:p>
    <w:p>
      <w:pPr>
        <w:spacing w:line="360" w:lineRule="auto"/>
        <w:ind w:firstLine="630"/>
        <w:rPr>
          <w:rFonts w:ascii="宋体" w:cs="Times New Roman"/>
        </w:rPr>
      </w:pPr>
      <w:r>
        <w:rPr>
          <w:rFonts w:ascii="宋体" w:hAnsi="宋体" w:cs="宋体"/>
        </w:rPr>
        <w:t>1</w:t>
      </w:r>
      <w:r>
        <w:rPr>
          <w:rFonts w:hint="eastAsia" w:ascii="宋体" w:hAnsi="宋体" w:cs="宋体"/>
        </w:rPr>
        <w:t>、</w:t>
      </w:r>
      <w:r>
        <w:rPr>
          <w:rFonts w:hint="eastAsia" w:ascii="宋体" w:hAnsi="宋体" w:cs="宋体"/>
          <w:u w:val="single"/>
        </w:rPr>
        <w:t xml:space="preserve">                                  </w:t>
      </w:r>
      <w:r>
        <w:rPr>
          <w:rFonts w:hint="eastAsia" w:ascii="宋体" w:hAnsi="宋体" w:cs="宋体"/>
        </w:rPr>
        <w:t>。</w:t>
      </w:r>
    </w:p>
    <w:p>
      <w:pPr>
        <w:spacing w:line="360" w:lineRule="auto"/>
        <w:ind w:firstLine="630"/>
        <w:rPr>
          <w:rFonts w:ascii="宋体" w:cs="Times New Roman"/>
        </w:rPr>
      </w:pPr>
      <w:r>
        <w:rPr>
          <w:rFonts w:ascii="宋体" w:hAnsi="宋体" w:cs="宋体"/>
        </w:rPr>
        <w:t>2</w:t>
      </w:r>
      <w:r>
        <w:rPr>
          <w:rFonts w:hint="eastAsia" w:ascii="宋体" w:hAnsi="宋体" w:cs="宋体"/>
        </w:rPr>
        <w:t>、预付款根据采购文件的约定，在合同签订前提交不超过合同金额</w:t>
      </w:r>
      <w:r>
        <w:rPr>
          <w:rFonts w:ascii="宋体" w:hAnsi="宋体" w:cs="宋体"/>
        </w:rPr>
        <w:t>10%</w:t>
      </w:r>
      <w:r>
        <w:rPr>
          <w:rFonts w:hint="eastAsia" w:ascii="宋体" w:hAnsi="宋体" w:cs="宋体"/>
        </w:rPr>
        <w:t>的履约担保。</w:t>
      </w:r>
    </w:p>
    <w:p>
      <w:pPr>
        <w:spacing w:line="360" w:lineRule="auto"/>
        <w:ind w:firstLine="422"/>
        <w:rPr>
          <w:rFonts w:ascii="宋体" w:cs="Times New Roman"/>
          <w:b/>
          <w:bCs/>
        </w:rPr>
      </w:pPr>
      <w:r>
        <w:rPr>
          <w:rFonts w:ascii="宋体" w:hAnsi="宋体" w:cs="宋体"/>
          <w:b/>
          <w:bCs/>
        </w:rPr>
        <w:t>5.</w:t>
      </w:r>
      <w:r>
        <w:rPr>
          <w:rFonts w:hint="eastAsia" w:ascii="宋体" w:hAnsi="宋体" w:cs="宋体"/>
          <w:b/>
          <w:bCs/>
        </w:rPr>
        <w:t>解决合同纠纷方式</w:t>
      </w:r>
    </w:p>
    <w:p>
      <w:pPr>
        <w:spacing w:line="360" w:lineRule="auto"/>
        <w:ind w:firstLine="420"/>
        <w:rPr>
          <w:rFonts w:ascii="宋体" w:cs="Times New Roman"/>
        </w:rPr>
      </w:pPr>
      <w:r>
        <w:rPr>
          <w:rFonts w:hint="eastAsia" w:ascii="宋体" w:hAnsi="宋体" w:cs="宋体"/>
        </w:rPr>
        <w:t>首先通过双方协商解决，协商解决不成，则通过以下途径之一解决纠纷：</w:t>
      </w:r>
    </w:p>
    <w:p>
      <w:pPr>
        <w:spacing w:line="360" w:lineRule="auto"/>
        <w:ind w:firstLine="840"/>
        <w:rPr>
          <w:rFonts w:ascii="宋体" w:cs="Times New Roman"/>
        </w:rPr>
      </w:pPr>
      <w:r>
        <w:rPr>
          <w:rFonts w:ascii="Segoe UI Symbol" w:hAnsi="Segoe UI Symbol" w:cs="Segoe UI Symbol"/>
        </w:rPr>
        <w:t>□</w:t>
      </w:r>
      <w:r>
        <w:rPr>
          <w:rFonts w:hint="eastAsia" w:ascii="宋体" w:hAnsi="宋体" w:cs="宋体"/>
        </w:rPr>
        <w:t xml:space="preserve">提请仲裁           </w:t>
      </w:r>
      <w:r>
        <w:rPr>
          <w:rFonts w:ascii="Segoe UI Symbol" w:hAnsi="Segoe UI Symbol" w:cs="Segoe UI Symbol"/>
        </w:rPr>
        <w:t>□</w:t>
      </w:r>
      <w:r>
        <w:rPr>
          <w:rFonts w:hint="eastAsia" w:ascii="宋体" w:hAnsi="宋体" w:cs="宋体"/>
        </w:rPr>
        <w:t>向人民法院提起诉讼</w:t>
      </w:r>
    </w:p>
    <w:p>
      <w:pPr>
        <w:spacing w:line="360" w:lineRule="auto"/>
        <w:ind w:firstLine="422"/>
        <w:rPr>
          <w:rFonts w:ascii="宋体" w:cs="Times New Roman"/>
          <w:b/>
          <w:bCs/>
        </w:rPr>
      </w:pPr>
      <w:r>
        <w:rPr>
          <w:rFonts w:ascii="宋体" w:hAnsi="宋体" w:cs="宋体"/>
          <w:b/>
          <w:bCs/>
        </w:rPr>
        <w:t>6.</w:t>
      </w:r>
      <w:r>
        <w:rPr>
          <w:rFonts w:hint="eastAsia" w:ascii="宋体" w:hAnsi="宋体" w:cs="宋体"/>
          <w:b/>
          <w:bCs/>
        </w:rPr>
        <w:t>组成合同的文件</w:t>
      </w:r>
    </w:p>
    <w:p>
      <w:pPr>
        <w:spacing w:line="360" w:lineRule="auto"/>
        <w:ind w:firstLine="420"/>
        <w:rPr>
          <w:rFonts w:ascii="宋体" w:cs="Times New Roman"/>
        </w:rPr>
      </w:pPr>
      <w:r>
        <w:rPr>
          <w:rFonts w:hint="eastAsia" w:ascii="宋体" w:hAnsi="宋体" w:cs="宋体"/>
        </w:rPr>
        <w:t>本协议书与下列文件一起构成合同文件，如下述文件之间有任何抵触、矛盾或歧义，应按以下顺序解释：</w:t>
      </w:r>
    </w:p>
    <w:p>
      <w:pPr>
        <w:spacing w:line="360" w:lineRule="auto"/>
        <w:ind w:firstLine="420"/>
        <w:rPr>
          <w:rFonts w:ascii="宋体" w:cs="Times New Roman"/>
        </w:rPr>
      </w:pPr>
      <w:r>
        <w:rPr>
          <w:rFonts w:hint="eastAsia" w:ascii="宋体" w:hAnsi="宋体" w:cs="宋体"/>
        </w:rPr>
        <w:t>（</w:t>
      </w:r>
      <w:r>
        <w:rPr>
          <w:rFonts w:ascii="宋体" w:hAnsi="宋体" w:cs="宋体"/>
        </w:rPr>
        <w:t>1</w:t>
      </w:r>
      <w:r>
        <w:rPr>
          <w:rFonts w:hint="eastAsia" w:ascii="宋体" w:hAnsi="宋体" w:cs="宋体"/>
        </w:rPr>
        <w:t>）在采购或合同履行过程中乙方作出的承诺以及双方协商达成的变更或补充协议</w:t>
      </w:r>
    </w:p>
    <w:p>
      <w:pPr>
        <w:spacing w:line="360" w:lineRule="auto"/>
        <w:ind w:firstLine="420"/>
        <w:rPr>
          <w:rFonts w:ascii="宋体" w:cs="Times New Roman"/>
        </w:rPr>
      </w:pPr>
      <w:r>
        <w:rPr>
          <w:rFonts w:hint="eastAsia" w:ascii="宋体" w:hAnsi="宋体" w:cs="宋体"/>
        </w:rPr>
        <w:t>（</w:t>
      </w:r>
      <w:r>
        <w:rPr>
          <w:rFonts w:ascii="宋体" w:hAnsi="宋体" w:cs="宋体"/>
        </w:rPr>
        <w:t>2</w:t>
      </w:r>
      <w:r>
        <w:rPr>
          <w:rFonts w:hint="eastAsia" w:ascii="宋体" w:hAnsi="宋体" w:cs="宋体"/>
        </w:rPr>
        <w:t>）成交通知书</w:t>
      </w:r>
    </w:p>
    <w:p>
      <w:pPr>
        <w:spacing w:line="360" w:lineRule="auto"/>
        <w:ind w:firstLine="420"/>
        <w:rPr>
          <w:rFonts w:ascii="宋体" w:cs="Times New Roman"/>
        </w:rPr>
      </w:pPr>
      <w:r>
        <w:rPr>
          <w:rFonts w:hint="eastAsia" w:ascii="宋体" w:hAnsi="宋体" w:cs="宋体"/>
        </w:rPr>
        <w:t>（</w:t>
      </w:r>
      <w:r>
        <w:rPr>
          <w:rFonts w:ascii="宋体" w:hAnsi="宋体" w:cs="宋体"/>
        </w:rPr>
        <w:t>3</w:t>
      </w:r>
      <w:r>
        <w:rPr>
          <w:rFonts w:hint="eastAsia" w:ascii="宋体" w:hAnsi="宋体" w:cs="宋体"/>
        </w:rPr>
        <w:t>）响应文件</w:t>
      </w:r>
    </w:p>
    <w:p>
      <w:pPr>
        <w:spacing w:line="360" w:lineRule="auto"/>
        <w:ind w:firstLine="420"/>
        <w:rPr>
          <w:rFonts w:ascii="宋体" w:cs="Times New Roman"/>
        </w:rPr>
      </w:pPr>
      <w:r>
        <w:rPr>
          <w:rFonts w:hint="eastAsia" w:ascii="宋体" w:hAnsi="宋体" w:cs="宋体"/>
        </w:rPr>
        <w:t>（</w:t>
      </w:r>
      <w:r>
        <w:rPr>
          <w:rFonts w:ascii="宋体" w:hAnsi="宋体" w:cs="宋体"/>
        </w:rPr>
        <w:t>4</w:t>
      </w:r>
      <w:r>
        <w:rPr>
          <w:rFonts w:hint="eastAsia" w:ascii="宋体" w:hAnsi="宋体" w:cs="宋体"/>
        </w:rPr>
        <w:t>）政府采购合同格式条款及其附件</w:t>
      </w:r>
    </w:p>
    <w:p>
      <w:pPr>
        <w:spacing w:line="360" w:lineRule="auto"/>
        <w:ind w:firstLine="420"/>
        <w:rPr>
          <w:rFonts w:ascii="宋体" w:cs="Times New Roman"/>
        </w:rPr>
      </w:pPr>
      <w:r>
        <w:rPr>
          <w:rFonts w:hint="eastAsia" w:ascii="宋体" w:hAnsi="宋体" w:cs="宋体"/>
        </w:rPr>
        <w:t>（</w:t>
      </w:r>
      <w:r>
        <w:rPr>
          <w:rFonts w:ascii="宋体" w:hAnsi="宋体" w:cs="宋体"/>
        </w:rPr>
        <w:t>5</w:t>
      </w:r>
      <w:r>
        <w:rPr>
          <w:rFonts w:hint="eastAsia" w:ascii="宋体" w:hAnsi="宋体" w:cs="宋体"/>
        </w:rPr>
        <w:t>）专用合同条款</w:t>
      </w:r>
    </w:p>
    <w:p>
      <w:pPr>
        <w:spacing w:line="360" w:lineRule="auto"/>
        <w:ind w:firstLine="420"/>
        <w:rPr>
          <w:rFonts w:ascii="宋体" w:cs="Times New Roman"/>
        </w:rPr>
      </w:pPr>
      <w:r>
        <w:rPr>
          <w:rFonts w:hint="eastAsia" w:ascii="宋体" w:hAnsi="宋体" w:cs="宋体"/>
        </w:rPr>
        <w:t>（</w:t>
      </w:r>
      <w:r>
        <w:rPr>
          <w:rFonts w:ascii="宋体" w:hAnsi="宋体" w:cs="宋体"/>
        </w:rPr>
        <w:t>6</w:t>
      </w:r>
      <w:r>
        <w:rPr>
          <w:rFonts w:hint="eastAsia" w:ascii="宋体" w:hAnsi="宋体" w:cs="宋体"/>
        </w:rPr>
        <w:t>）通用合同条款（如果有）</w:t>
      </w:r>
    </w:p>
    <w:p>
      <w:pPr>
        <w:spacing w:line="360" w:lineRule="auto"/>
        <w:ind w:firstLine="420"/>
        <w:rPr>
          <w:rFonts w:ascii="宋体" w:cs="Times New Roman"/>
        </w:rPr>
      </w:pPr>
      <w:r>
        <w:rPr>
          <w:rFonts w:hint="eastAsia" w:ascii="宋体" w:hAnsi="宋体" w:cs="宋体"/>
        </w:rPr>
        <w:t>（</w:t>
      </w:r>
      <w:r>
        <w:rPr>
          <w:rFonts w:ascii="宋体" w:hAnsi="宋体" w:cs="宋体"/>
        </w:rPr>
        <w:t>7</w:t>
      </w:r>
      <w:r>
        <w:rPr>
          <w:rFonts w:hint="eastAsia" w:ascii="宋体" w:hAnsi="宋体" w:cs="宋体"/>
        </w:rPr>
        <w:t>）标准、规范及有关技术文件，图纸，已标价工程量清单或预算书（如果有）</w:t>
      </w:r>
    </w:p>
    <w:p>
      <w:pPr>
        <w:spacing w:line="360" w:lineRule="auto"/>
        <w:ind w:firstLine="420"/>
        <w:rPr>
          <w:rFonts w:ascii="宋体" w:cs="Times New Roman"/>
        </w:rPr>
      </w:pPr>
      <w:r>
        <w:rPr>
          <w:rFonts w:hint="eastAsia" w:ascii="宋体" w:hAnsi="宋体" w:cs="宋体"/>
        </w:rPr>
        <w:t>（</w:t>
      </w:r>
      <w:r>
        <w:rPr>
          <w:rFonts w:ascii="宋体" w:hAnsi="宋体" w:cs="宋体"/>
        </w:rPr>
        <w:t>8</w:t>
      </w:r>
      <w:r>
        <w:rPr>
          <w:rFonts w:hint="eastAsia" w:ascii="宋体" w:hAnsi="宋体" w:cs="宋体"/>
        </w:rPr>
        <w:t>）其他合同文件。</w:t>
      </w:r>
    </w:p>
    <w:p>
      <w:pPr>
        <w:spacing w:line="360" w:lineRule="auto"/>
        <w:ind w:firstLine="310"/>
        <w:rPr>
          <w:rFonts w:ascii="宋体" w:cs="Times New Roman"/>
          <w:b/>
          <w:bCs/>
        </w:rPr>
      </w:pPr>
      <w:r>
        <w:rPr>
          <w:rFonts w:ascii="宋体" w:hAnsi="宋体" w:cs="宋体"/>
          <w:b/>
          <w:bCs/>
        </w:rPr>
        <w:t>7.</w:t>
      </w:r>
      <w:r>
        <w:rPr>
          <w:rFonts w:hint="eastAsia" w:ascii="宋体" w:hAnsi="宋体" w:cs="宋体"/>
          <w:b/>
          <w:bCs/>
        </w:rPr>
        <w:t>合同生效</w:t>
      </w:r>
    </w:p>
    <w:p>
      <w:pPr>
        <w:spacing w:line="360" w:lineRule="auto"/>
        <w:ind w:firstLine="420"/>
        <w:rPr>
          <w:rFonts w:ascii="宋体" w:cs="Times New Roman"/>
        </w:rPr>
      </w:pPr>
      <w:r>
        <w:rPr>
          <w:rFonts w:hint="eastAsia" w:ascii="宋体" w:hAnsi="宋体" w:cs="宋体"/>
        </w:rPr>
        <w:t xml:space="preserve">本合同自 </w:t>
      </w:r>
      <w:r>
        <w:rPr>
          <w:rFonts w:hint="eastAsia" w:ascii="宋体" w:hAnsi="宋体" w:cs="宋体"/>
          <w:u w:val="single"/>
        </w:rPr>
        <w:t xml:space="preserve">                </w:t>
      </w:r>
      <w:r>
        <w:rPr>
          <w:rFonts w:hint="eastAsia" w:ascii="宋体" w:hAnsi="宋体" w:cs="宋体"/>
        </w:rPr>
        <w:t xml:space="preserve"> 生效。</w:t>
      </w:r>
    </w:p>
    <w:p>
      <w:pPr>
        <w:spacing w:line="360" w:lineRule="auto"/>
        <w:ind w:firstLine="310"/>
        <w:rPr>
          <w:rFonts w:ascii="宋体" w:cs="Times New Roman"/>
          <w:b/>
          <w:bCs/>
        </w:rPr>
      </w:pPr>
      <w:r>
        <w:rPr>
          <w:rFonts w:ascii="宋体" w:hAnsi="宋体" w:cs="宋体"/>
          <w:b/>
          <w:bCs/>
        </w:rPr>
        <w:t>8.</w:t>
      </w:r>
      <w:r>
        <w:rPr>
          <w:rFonts w:hint="eastAsia" w:ascii="宋体" w:hAnsi="宋体" w:cs="宋体"/>
          <w:b/>
          <w:bCs/>
        </w:rPr>
        <w:t>合同份数</w:t>
      </w:r>
    </w:p>
    <w:p>
      <w:pPr>
        <w:spacing w:line="360" w:lineRule="auto"/>
        <w:ind w:firstLine="420"/>
        <w:rPr>
          <w:rFonts w:ascii="宋体" w:cs="Times New Roman"/>
        </w:rPr>
      </w:pPr>
      <w:r>
        <w:rPr>
          <w:rFonts w:hint="eastAsia" w:ascii="宋体" w:hAnsi="宋体" w:cs="宋体"/>
        </w:rPr>
        <w:t>本合同一式</w:t>
      </w:r>
      <w:r>
        <w:rPr>
          <w:rFonts w:hint="eastAsia" w:ascii="宋体" w:hAnsi="宋体" w:cs="宋体"/>
          <w:u w:val="single"/>
        </w:rPr>
        <w:t xml:space="preserve">     </w:t>
      </w:r>
      <w:r>
        <w:rPr>
          <w:rFonts w:hint="eastAsia" w:ascii="宋体" w:hAnsi="宋体" w:cs="宋体"/>
        </w:rPr>
        <w:t>份，采购人执</w:t>
      </w:r>
      <w:r>
        <w:rPr>
          <w:rFonts w:hint="eastAsia" w:ascii="宋体" w:hAnsi="宋体" w:cs="宋体"/>
          <w:u w:val="single"/>
        </w:rPr>
        <w:t xml:space="preserve">    </w:t>
      </w:r>
      <w:r>
        <w:rPr>
          <w:rFonts w:hint="eastAsia" w:ascii="宋体" w:hAnsi="宋体" w:cs="宋体"/>
        </w:rPr>
        <w:t>份，供应商执</w:t>
      </w:r>
      <w:r>
        <w:rPr>
          <w:rFonts w:hint="eastAsia" w:ascii="宋体" w:hAnsi="宋体" w:cs="宋体"/>
          <w:u w:val="single"/>
        </w:rPr>
        <w:t xml:space="preserve">     </w:t>
      </w:r>
      <w:r>
        <w:rPr>
          <w:rFonts w:hint="eastAsia" w:ascii="宋体" w:hAnsi="宋体" w:cs="宋体"/>
        </w:rPr>
        <w:t>份，均具有同等法律效力。</w:t>
      </w:r>
    </w:p>
    <w:p>
      <w:pPr>
        <w:spacing w:line="360" w:lineRule="auto"/>
        <w:ind w:firstLine="420" w:firstLineChars="200"/>
        <w:rPr>
          <w:rFonts w:ascii="宋体" w:cs="Times New Roman"/>
        </w:rPr>
      </w:pPr>
      <w:r>
        <w:rPr>
          <w:rFonts w:hint="eastAsia" w:ascii="宋体" w:hAnsi="宋体" w:cs="宋体"/>
        </w:rPr>
        <w:t>合同订立时间：</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spacing w:line="360" w:lineRule="auto"/>
        <w:ind w:firstLine="420" w:firstLineChars="200"/>
        <w:rPr>
          <w:rFonts w:ascii="宋体" w:cs="Times New Roman"/>
        </w:rPr>
      </w:pPr>
      <w:r>
        <w:rPr>
          <w:rFonts w:hint="eastAsia" w:ascii="宋体" w:hAnsi="宋体" w:cs="宋体"/>
        </w:rPr>
        <w:t>合同订立地点：</w:t>
      </w:r>
      <w:r>
        <w:rPr>
          <w:rFonts w:hint="eastAsia" w:ascii="宋体" w:hAnsi="宋体" w:cs="宋体"/>
          <w:u w:val="single"/>
        </w:rPr>
        <w:t xml:space="preserve">                       </w:t>
      </w:r>
    </w:p>
    <w:tbl>
      <w:tblPr>
        <w:tblStyle w:val="13"/>
        <w:tblW w:w="8952" w:type="dxa"/>
        <w:tblInd w:w="108" w:type="dxa"/>
        <w:tblLayout w:type="fixed"/>
        <w:tblCellMar>
          <w:top w:w="0" w:type="dxa"/>
          <w:left w:w="108" w:type="dxa"/>
          <w:bottom w:w="0" w:type="dxa"/>
          <w:right w:w="108" w:type="dxa"/>
        </w:tblCellMar>
      </w:tblPr>
      <w:tblGrid>
        <w:gridCol w:w="4875"/>
        <w:gridCol w:w="4077"/>
      </w:tblGrid>
      <w:tr>
        <w:tblPrEx>
          <w:tblLayout w:type="fixed"/>
          <w:tblCellMar>
            <w:top w:w="0" w:type="dxa"/>
            <w:left w:w="108" w:type="dxa"/>
            <w:bottom w:w="0" w:type="dxa"/>
            <w:right w:w="108" w:type="dxa"/>
          </w:tblCellMar>
        </w:tblPrEx>
        <w:trPr>
          <w:cantSplit/>
          <w:trHeight w:val="3222" w:hRule="atLeast"/>
        </w:trPr>
        <w:tc>
          <w:tcPr>
            <w:tcW w:w="4875" w:type="dxa"/>
            <w:vAlign w:val="top"/>
          </w:tcPr>
          <w:p>
            <w:pPr>
              <w:spacing w:before="120"/>
              <w:rPr>
                <w:rFonts w:hint="eastAsia"/>
                <w:color w:val="000000"/>
                <w:szCs w:val="21"/>
              </w:rPr>
            </w:pPr>
            <w:r>
              <w:rPr>
                <w:rFonts w:hint="eastAsia"/>
                <w:color w:val="000000"/>
                <w:szCs w:val="21"/>
              </w:rPr>
              <w:t>甲方（公章）</w:t>
            </w:r>
          </w:p>
          <w:p>
            <w:pPr>
              <w:spacing w:before="120"/>
              <w:rPr>
                <w:color w:val="000000"/>
                <w:szCs w:val="21"/>
                <w:u w:val="single"/>
              </w:rPr>
            </w:pPr>
            <w:r>
              <w:rPr>
                <w:rFonts w:hint="eastAsia"/>
                <w:color w:val="000000"/>
                <w:szCs w:val="21"/>
              </w:rPr>
              <w:t xml:space="preserve">法定代理人：           </w:t>
            </w:r>
          </w:p>
          <w:p>
            <w:pPr>
              <w:spacing w:before="120"/>
              <w:rPr>
                <w:color w:val="000000"/>
                <w:szCs w:val="21"/>
              </w:rPr>
            </w:pPr>
            <w:r>
              <w:rPr>
                <w:rFonts w:hint="eastAsia"/>
                <w:color w:val="000000"/>
                <w:szCs w:val="21"/>
              </w:rPr>
              <w:t>委托代理人：</w:t>
            </w:r>
          </w:p>
          <w:p>
            <w:pPr>
              <w:spacing w:before="120"/>
              <w:rPr>
                <w:rFonts w:hint="eastAsia"/>
                <w:color w:val="000000"/>
                <w:szCs w:val="21"/>
              </w:rPr>
            </w:pPr>
            <w:r>
              <w:rPr>
                <w:rFonts w:hint="eastAsia"/>
                <w:color w:val="000000"/>
                <w:szCs w:val="21"/>
              </w:rPr>
              <w:t>电      话：</w:t>
            </w:r>
          </w:p>
          <w:p>
            <w:pPr>
              <w:spacing w:before="120"/>
              <w:rPr>
                <w:rFonts w:hint="eastAsia"/>
                <w:color w:val="000000"/>
                <w:szCs w:val="21"/>
              </w:rPr>
            </w:pPr>
            <w:r>
              <w:rPr>
                <w:rFonts w:hint="eastAsia"/>
                <w:color w:val="000000"/>
                <w:szCs w:val="21"/>
              </w:rPr>
              <w:t>传      真：</w:t>
            </w:r>
          </w:p>
        </w:tc>
        <w:tc>
          <w:tcPr>
            <w:tcW w:w="4077" w:type="dxa"/>
            <w:vAlign w:val="top"/>
          </w:tcPr>
          <w:p>
            <w:pPr>
              <w:spacing w:before="120"/>
              <w:rPr>
                <w:rFonts w:hint="eastAsia"/>
                <w:color w:val="000000"/>
                <w:szCs w:val="21"/>
              </w:rPr>
            </w:pPr>
            <w:r>
              <w:rPr>
                <w:rFonts w:hint="eastAsia"/>
                <w:color w:val="000000"/>
                <w:szCs w:val="21"/>
              </w:rPr>
              <w:t>乙方（公章）</w:t>
            </w:r>
          </w:p>
          <w:p>
            <w:pPr>
              <w:spacing w:before="120"/>
              <w:rPr>
                <w:color w:val="000000"/>
                <w:szCs w:val="21"/>
              </w:rPr>
            </w:pPr>
            <w:r>
              <w:rPr>
                <w:rFonts w:hint="eastAsia"/>
                <w:color w:val="000000"/>
                <w:szCs w:val="21"/>
              </w:rPr>
              <w:t>法定代理人：</w:t>
            </w:r>
          </w:p>
          <w:p>
            <w:pPr>
              <w:spacing w:before="120"/>
              <w:rPr>
                <w:color w:val="000000"/>
                <w:szCs w:val="21"/>
              </w:rPr>
            </w:pPr>
            <w:r>
              <w:rPr>
                <w:rFonts w:hint="eastAsia"/>
                <w:color w:val="000000"/>
                <w:szCs w:val="21"/>
              </w:rPr>
              <w:t>委托代理人：</w:t>
            </w:r>
          </w:p>
          <w:p>
            <w:pPr>
              <w:spacing w:before="120"/>
              <w:rPr>
                <w:color w:val="000000"/>
                <w:szCs w:val="21"/>
              </w:rPr>
            </w:pPr>
            <w:r>
              <w:rPr>
                <w:rFonts w:hint="eastAsia"/>
                <w:color w:val="000000"/>
                <w:szCs w:val="21"/>
              </w:rPr>
              <w:t>电      话：</w:t>
            </w:r>
          </w:p>
          <w:p>
            <w:pPr>
              <w:spacing w:before="120"/>
              <w:rPr>
                <w:color w:val="000000"/>
                <w:szCs w:val="21"/>
              </w:rPr>
            </w:pPr>
            <w:r>
              <w:rPr>
                <w:rFonts w:hint="eastAsia"/>
                <w:color w:val="000000"/>
                <w:szCs w:val="21"/>
              </w:rPr>
              <w:t>传      真：</w:t>
            </w:r>
          </w:p>
          <w:p>
            <w:pPr>
              <w:spacing w:before="120"/>
              <w:jc w:val="left"/>
              <w:rPr>
                <w:rFonts w:hint="eastAsia"/>
                <w:color w:val="000000"/>
                <w:szCs w:val="21"/>
              </w:rPr>
            </w:pPr>
            <w:r>
              <w:rPr>
                <w:rFonts w:hint="eastAsia"/>
                <w:color w:val="000000"/>
                <w:szCs w:val="21"/>
              </w:rPr>
              <w:t>开 户 银 行：</w:t>
            </w:r>
          </w:p>
          <w:p>
            <w:pPr>
              <w:spacing w:before="120"/>
              <w:jc w:val="left"/>
              <w:rPr>
                <w:rFonts w:hint="eastAsia"/>
                <w:color w:val="000000"/>
                <w:szCs w:val="21"/>
              </w:rPr>
            </w:pPr>
            <w:r>
              <w:rPr>
                <w:rFonts w:hint="eastAsia"/>
                <w:color w:val="000000"/>
                <w:szCs w:val="21"/>
              </w:rPr>
              <w:t>账       号：</w:t>
            </w:r>
          </w:p>
        </w:tc>
      </w:tr>
      <w:tr>
        <w:tblPrEx>
          <w:tblLayout w:type="fixed"/>
          <w:tblCellMar>
            <w:top w:w="0" w:type="dxa"/>
            <w:left w:w="108" w:type="dxa"/>
            <w:bottom w:w="0" w:type="dxa"/>
            <w:right w:w="108" w:type="dxa"/>
          </w:tblCellMar>
        </w:tblPrEx>
        <w:trPr>
          <w:cantSplit/>
          <w:trHeight w:val="2209" w:hRule="atLeast"/>
        </w:trPr>
        <w:tc>
          <w:tcPr>
            <w:tcW w:w="4875" w:type="dxa"/>
            <w:vAlign w:val="top"/>
          </w:tcPr>
          <w:p>
            <w:pPr>
              <w:spacing w:before="120"/>
              <w:rPr>
                <w:rFonts w:hint="eastAsia"/>
                <w:color w:val="000000"/>
                <w:szCs w:val="21"/>
              </w:rPr>
            </w:pPr>
            <w:r>
              <w:rPr>
                <w:rFonts w:hint="eastAsia"/>
                <w:color w:val="000000"/>
                <w:szCs w:val="21"/>
              </w:rPr>
              <w:t>采购代理机构（盖章）：</w:t>
            </w:r>
          </w:p>
          <w:p>
            <w:pPr>
              <w:spacing w:before="120"/>
              <w:rPr>
                <w:color w:val="000000"/>
                <w:szCs w:val="21"/>
              </w:rPr>
            </w:pPr>
            <w:r>
              <w:rPr>
                <w:rFonts w:hint="eastAsia"/>
                <w:b/>
                <w:color w:val="000000"/>
                <w:szCs w:val="21"/>
              </w:rPr>
              <w:t>本合同内容未超过政府采购申报审批表规定。</w:t>
            </w:r>
          </w:p>
          <w:p>
            <w:pPr>
              <w:spacing w:before="120"/>
              <w:rPr>
                <w:rFonts w:hint="eastAsia"/>
                <w:color w:val="000000"/>
                <w:szCs w:val="21"/>
              </w:rPr>
            </w:pPr>
          </w:p>
        </w:tc>
        <w:tc>
          <w:tcPr>
            <w:tcW w:w="4077" w:type="dxa"/>
            <w:vAlign w:val="top"/>
          </w:tcPr>
          <w:p>
            <w:pPr>
              <w:spacing w:before="120"/>
              <w:rPr>
                <w:color w:val="000000"/>
                <w:szCs w:val="21"/>
              </w:rPr>
            </w:pPr>
            <w:r>
              <w:rPr>
                <w:rFonts w:hint="eastAsia"/>
                <w:color w:val="000000"/>
                <w:szCs w:val="21"/>
              </w:rPr>
              <w:t>政府采购管理部门（盖章）：</w:t>
            </w:r>
          </w:p>
          <w:p>
            <w:pPr>
              <w:spacing w:before="120"/>
              <w:rPr>
                <w:color w:val="000000"/>
                <w:szCs w:val="21"/>
              </w:rPr>
            </w:pPr>
          </w:p>
          <w:p>
            <w:pPr>
              <w:spacing w:before="120"/>
              <w:rPr>
                <w:color w:val="000000"/>
                <w:szCs w:val="21"/>
              </w:rPr>
            </w:pPr>
            <w:r>
              <w:rPr>
                <w:rFonts w:hint="eastAsia"/>
                <w:color w:val="000000"/>
                <w:szCs w:val="21"/>
              </w:rPr>
              <w:t>备案经办人（签字）：</w:t>
            </w:r>
          </w:p>
          <w:p>
            <w:pPr>
              <w:spacing w:before="120"/>
              <w:rPr>
                <w:rFonts w:hint="eastAsia"/>
                <w:color w:val="000000"/>
                <w:szCs w:val="21"/>
              </w:rPr>
            </w:pPr>
            <w:r>
              <w:rPr>
                <w:rFonts w:hint="eastAsia"/>
                <w:color w:val="000000"/>
                <w:szCs w:val="21"/>
              </w:rPr>
              <w:t>联系电话：</w:t>
            </w:r>
          </w:p>
          <w:p>
            <w:pPr>
              <w:spacing w:before="120"/>
              <w:rPr>
                <w:rFonts w:hint="eastAsia"/>
                <w:color w:val="000000"/>
                <w:szCs w:val="21"/>
              </w:rPr>
            </w:pPr>
            <w:r>
              <w:rPr>
                <w:rFonts w:hint="eastAsia"/>
                <w:color w:val="000000"/>
                <w:szCs w:val="21"/>
              </w:rPr>
              <w:t>备案时间：</w:t>
            </w:r>
          </w:p>
        </w:tc>
      </w:tr>
    </w:tbl>
    <w:p>
      <w:pPr>
        <w:spacing w:line="360" w:lineRule="auto"/>
        <w:jc w:val="left"/>
        <w:rPr>
          <w:rFonts w:hint="eastAsia" w:ascii="宋体" w:hAnsi="宋体" w:cs="宋体"/>
          <w:b/>
          <w:bCs/>
          <w:sz w:val="24"/>
          <w:szCs w:val="24"/>
        </w:rPr>
      </w:pPr>
    </w:p>
    <w:p>
      <w:pPr>
        <w:spacing w:line="360" w:lineRule="auto"/>
        <w:jc w:val="left"/>
        <w:rPr>
          <w:rFonts w:ascii="宋体" w:cs="Times New Roman"/>
          <w:b/>
          <w:bCs/>
          <w:sz w:val="24"/>
          <w:szCs w:val="24"/>
        </w:rPr>
      </w:pPr>
      <w:r>
        <w:rPr>
          <w:rFonts w:hint="eastAsia" w:ascii="宋体" w:hAnsi="宋体" w:cs="宋体"/>
          <w:b/>
          <w:bCs/>
          <w:sz w:val="24"/>
          <w:szCs w:val="24"/>
        </w:rPr>
        <w:t>二、政府采购合同通用条款</w:t>
      </w:r>
    </w:p>
    <w:p>
      <w:pPr>
        <w:spacing w:line="360" w:lineRule="auto"/>
        <w:ind w:left="420"/>
        <w:jc w:val="center"/>
        <w:rPr>
          <w:rFonts w:hint="eastAsia" w:ascii="黑体" w:hAnsi="黑体" w:eastAsia="黑体" w:cs="Times New Roman"/>
          <w:b/>
          <w:bCs/>
          <w:sz w:val="30"/>
          <w:szCs w:val="30"/>
        </w:rPr>
      </w:pPr>
    </w:p>
    <w:p>
      <w:pPr>
        <w:spacing w:line="360" w:lineRule="auto"/>
        <w:ind w:left="420"/>
        <w:jc w:val="center"/>
        <w:rPr>
          <w:rFonts w:ascii="黑体" w:hAnsi="黑体" w:eastAsia="黑体" w:cs="Times New Roman"/>
          <w:b/>
          <w:bCs/>
          <w:sz w:val="30"/>
          <w:szCs w:val="30"/>
        </w:rPr>
      </w:pPr>
      <w:r>
        <w:rPr>
          <w:rFonts w:hint="eastAsia" w:ascii="黑体" w:hAnsi="黑体" w:eastAsia="黑体" w:cs="Times New Roman"/>
          <w:b/>
          <w:bCs/>
          <w:sz w:val="30"/>
          <w:szCs w:val="30"/>
        </w:rPr>
        <w:t>政府采购合同通用条款（货物类）</w:t>
      </w:r>
    </w:p>
    <w:p>
      <w:pPr>
        <w:spacing w:line="360" w:lineRule="auto"/>
        <w:rPr>
          <w:rFonts w:ascii="黑体" w:hAnsi="黑体" w:eastAsia="黑体" w:cs="Times New Roman"/>
          <w:bCs/>
          <w:sz w:val="28"/>
          <w:szCs w:val="28"/>
        </w:rPr>
      </w:pPr>
    </w:p>
    <w:p>
      <w:pPr>
        <w:pStyle w:val="20"/>
        <w:numPr>
          <w:ilvl w:val="0"/>
          <w:numId w:val="5"/>
        </w:numPr>
        <w:spacing w:line="360" w:lineRule="auto"/>
        <w:ind w:firstLineChars="0"/>
        <w:rPr>
          <w:rFonts w:ascii="黑体" w:hAnsi="黑体" w:eastAsia="黑体" w:cs="Times New Roman"/>
          <w:b/>
          <w:bCs/>
          <w:sz w:val="24"/>
          <w:szCs w:val="24"/>
        </w:rPr>
      </w:pPr>
      <w:r>
        <w:rPr>
          <w:rFonts w:hint="eastAsia" w:ascii="黑体" w:hAnsi="黑体" w:eastAsia="黑体" w:cs="Times New Roman"/>
          <w:b/>
          <w:bCs/>
          <w:sz w:val="24"/>
          <w:szCs w:val="24"/>
        </w:rPr>
        <w:t>定义</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1.1合同当事人</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（1）采购人（以下称甲方）是指使用财政性资金，通过政府采购程序向供应商购买货物、服务的国家机关、事业单位、团体组织。</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（2）供应商（以下称乙方）是指参加政府采购活动而取得成交资格，并向采购人提供货物、服务的法人、其他组织或者自然人。</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1.2本合同下列术语应解释为：</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（1）“合同”系指甲乙双方签署的、政府采购合同协议书中载明的甲乙双方所达成的协议，包括所有的附件、附录和上述文件所提到的构成合同的所有文件。</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（2）“合同价”系指根据本合同规定乙方在正确地完全履行合同义务后甲方应支付给乙方的价款。</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（3）“货物”系指乙方根据本合同规定须向甲方提供的各种形态和种类的物品，包括原材料、设备、产品（包括软件）及相关的其备品备件、工具、手册及其它技术资料和材料。</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（4）“伴随服务”系指根据本合同规定乙方承担于供货有关的辅助服务，如运输、保险以及其它的伴随服务，例如安装、调试、提供技术协助、培训和合同中规定乙方应承担的其它义务。</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（5）“合同条款”系指本合同条款。</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（6）“项目现场”系指本合同项下货物安装、运行的现场，其名称在政府采购合同专用条款指明。</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2.合同的适用范围</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2.1本合同条款适用于没有被本合同其他部分的条款所取代的范围。</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2.2合同内容根据谈判文件、响应文件而确定。</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3.合同标的及金额</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3.1合同标的及金额应与成交结果一致，具体的货物名称、规格、型号、数量和价格见政府采购合同专用条款。</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4.合同价款</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4.1具体合同价款见本合同第3.1项。乙方为履行本合同而发生的所有费用均应包含在合同价款中，甲方不再另行支付其它任何费用。</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5.履行合同的时间、地点和方式</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5.1乙方应当在甲方确定的时间、指定的地点履行合同，具体的交货时间、地点和方式见政府采购合同专用条款。</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5.2乙方提供服务的应当在甲方指定的地点完成服务项目。</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6.货物的验收</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6.1甲方在收到乙方交付的货物后应当及时组织验收。</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6.2货物的表面瑕疵，甲方应当在验收时当面提出；对质量问题有异议的应在安装调试后十个工作日内提出。</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6.3在验收过程中发现数量不足或有质量、技术等问题，乙方应负责按照甲方的要求采取补足、更换或退货等处理措施，并承担由此发生的一切费用和损失。</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6.4甲方在乙方按合同规定交货或安装、调试后，无正当理由而拖延接收、验收或拒绝接收、验收的，应承担因此给乙方造成的直接损失。</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6.5甲方对货物进行检查验收合格后，应收取发票并在《交货验收单》上签署验收意见及加盖单位印章。</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6.6大型或者复杂的货物采购项目，甲方可以邀请国家认可的质量检测机构参加验收工作，并由其出具验收报告单。</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6.7乙方提供的进口产品，乙方应出示中华人民共和国进出口商品检验部门出具的检验证书（采购文件另有约定的除外）。</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7.货物包装要求</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7.1乙方所出售的全部货物均应按标准保护措施进行包装，包装应适应于远距离运输、防潮、防震、防锈和防野蛮装卸等要求，以确保货物安全无损地运抵指定现场。由于包装防护措施不妥而引起的损坏、丢失由乙方负责。</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7.2每一个包装箱内应附一份详细装箱单、质量保证书和保修保养证书。</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8.运输和保险</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8.1乙方负责办理将货物运抵本合同第五条规定的交货地点的一切运输事项，相关费用应包括在合同总价中。</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8.2乙方应向保险公司投保以甲方为受益人的发运合同货物发票金额的110%运输一切险。</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9.质量标准和保证</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9.1质量标准</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（1）本合同下交付的货物应符合第四章采购需求所述的标准。如果没有提及适用标准，则应符合中华人民共和国有关机构发布的最新版本的标准。</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（2）采用中华人民共和国法定计量单位。</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（3）乙方所出售的货物还应符合国家有关安全、环保、卫生之规定。</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9.2保证</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乙方应保证所供货物是全新的、未使用过的，并完全符合合同规定的质量、规格和性能的要求。乙方应保证其货物在正确安装、正常使用和保养条件下，在其使用寿命期内应具有满意的性能，或者没有因乙方的行为或疏忽而产生的缺陷。在货物最终交付验收后不少于政府采购合同专用条款规定或乙方承诺（两者以较长的为准）的质量保证期内，本保证保持有效。</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（2）在质量保证期内所发现的缺陷，甲方应尽快以书面形式通知乙方。</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（3）乙方收到通知后应在政府采购合同专用条款规定的响应时间内以合理的速度免费维修或更换有缺陷的货物或部件。</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（4）在质量保证期内，如果货物的质量或规格与合同不符，或证实货物是有缺陷的，包括潜在的缺陷或使用不符合要求的材料等，甲方可以根据本合同第15.1项规定以书面形式向乙方提出补救措施或索赔。</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（5）乙方在约定的时间内未能弥补缺陷，甲方可采取必要的补救措施，但其风险和费用将由乙方承担，甲方根据合同规定对乙方行使的其他权利不受影响。</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10.权利瑕疵担保</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10.1乙方保证对其出售的货物享有合法的权利。</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10.2乙方保证在其出售的货物上不存在任何未曾向甲方透露的担保物权，如抵押权、质押权、留置权等。</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10.3如甲方使用该货物构成上述侵权的，则由乙方承担全部责任。</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11.知识产权保护</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11.1乙方对其所销售的货物应当享有知识产权或经权利人合法授权，保证没有侵犯任何第三人的知识产权和商业秘密等权利。</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11.2甲方使用乙方提供的货物对第三人构成侵权的，应当由乙方承担全部法律责任，给甲方造成损害的，乙方应承担赔偿责任。</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11.3甲方委托乙方开发的产品，甲方享有知识产权，未经甲方许可不得转让任何第三人。</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12.保密义务</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12.1甲、乙双方在采购和履行合同过程中所获悉的对方属于保密的内容，甲乙双方均有保密义务。</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13.合同价款支付</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13.1验收合格后，乙方出具正规发票给甲方，凭甲方开具的《政府采购合同验收报告单》办理合同价款结算手续。</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13.2合同价款构成中应当由财政支付的部分，甲方应当在货物验收合格后的十五个工作日内向国库管理部门申请支付，经国库管理部门审核后直接支付给乙方。</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13.3合同价款构成中应当由甲方自行支付的部分，甲方应当在货物验收合格后十五个工作日内支付。</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13.4支付合同价款时，一律不向乙方以外的任何第三方办理付款手续。开户行和账号以签订的政府采购合同为准，如果乙方要求变更，则乙方必须提供加盖财务专用章、法人代表签字的证明文件，报经甲方审查核准，并报财政部门备案。</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13.5合同价款支付方式和条件在政府采购合同专用条款中另有规定</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14.伴随服务</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14.1乙方应向甲方提交所提供货物的技术文件，包括相应的中文技术文件，如：产品目录、图纸、操作手册、使用说明、维护手册或服务指南。这些文件应包装好随同货物一起发运。</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14.2乙方还应提供下列服务：</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（1）货物的现场移动、安装、调试、启动监督及技术支持；</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（2）提供货物组装和维修所需的专用工具和辅助材料；</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（3）在合同各方商定的一定期限内对所有的货物实施运行监督、维修，但前提条件是该服务并不能免除乙方在质量保证期内所承担的义务；</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（4）在制造商或项目现场就货物的安装、启动、运营、维护对甲方操作人员进行培训；</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（5）政府采购合同专用条款与第四章采购需求规定的其他伴随服务。</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14.3乙方提供的伴随服务的费用应包含在合同价款中，甲方不再另行支付。</w:t>
      </w:r>
    </w:p>
    <w:p>
      <w:pPr>
        <w:spacing w:line="360" w:lineRule="auto"/>
        <w:rPr>
          <w:rFonts w:ascii="黑体" w:hAnsi="黑体" w:eastAsia="黑体" w:cs="Times New Roman"/>
          <w:b/>
          <w:bCs/>
          <w:sz w:val="24"/>
          <w:szCs w:val="24"/>
        </w:rPr>
      </w:pPr>
      <w:r>
        <w:rPr>
          <w:rFonts w:hint="eastAsia" w:ascii="黑体" w:hAnsi="黑体" w:eastAsia="黑体" w:cs="Times New Roman"/>
          <w:b/>
          <w:bCs/>
          <w:sz w:val="24"/>
          <w:szCs w:val="24"/>
        </w:rPr>
        <w:t>15.违约责任</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15.1质量瑕疵的补救措施和索赔</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1）如果乙方提供的产品不符合质量标准或存在产品质量缺陷，而甲方在合同条款第9条或合同的其他条款规定的检验、安装、调试、验收和质量保证期内，根据法定质量检测部门出具的检验证书向乙方提出了索赔，乙方应按照甲方同意的下列一种或几种方式结合起来解决索赔事宜：</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①乙方同意退货并将货款退还给甲方，由此发生的一切费用和损失由乙方承担。</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②根据货物的质量状况以及甲方所遭受的损失，经过甲乙双方商定降低货物的价格。</w:t>
      </w:r>
    </w:p>
    <w:p>
      <w:pPr>
        <w:spacing w:line="360" w:lineRule="auto"/>
        <w:rPr>
          <w:rFonts w:cs="Times New Roman" w:asciiTheme="minorEastAsia" w:hAnsiTheme="minorEastAsia" w:eastAsiaTheme="minorEastAsia"/>
          <w:bCs/>
        </w:rPr>
      </w:pPr>
      <w:r>
        <w:rPr>
          <w:rFonts w:hint="eastAsia" w:cs="Times New Roman" w:asciiTheme="minorEastAsia" w:hAnsiTheme="minorEastAsia" w:eastAsiaTheme="minorEastAsia"/>
          <w:bCs/>
        </w:rPr>
        <w:t>③乙方应在接到甲方通知后七日内负责采用符合合同规定的规格、质量和性能要求的新零件、部件和设备来更换有缺陷的部分或修补缺陷部分，其费用由乙方负担。同时，乙方应在约定的质量保证期基础上相应延长修补和更换件的质量保证期。</w:t>
      </w:r>
    </w:p>
    <w:p>
      <w:pPr>
        <w:pStyle w:val="20"/>
        <w:numPr>
          <w:ilvl w:val="0"/>
          <w:numId w:val="3"/>
        </w:numPr>
        <w:spacing w:line="360" w:lineRule="auto"/>
        <w:ind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如果在甲方发出索赔通知后十日内乙方未作答复，上述索赔应视为已被乙方接受。如果乙方未能在甲方发出索赔通知后十日内或甲方同意延长的期限内，按照上述规定的任何一种方法采取补救措施，甲方有权从应付货款中扣除索赔金额或者没收质量保证金，如不足以弥补甲方损失的，甲方有权进一步要求乙方赔偿。</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15.2迟延交货的违约责任</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乙方应按照本合同规定的时间、地点交货和提供服务。在履行合同过程中，如果乙方遇到可能妨碍按时交货和提供服务的情形时，应及时以书面形式将迟延的事实、可能迟延的期限和理由通知甲方。甲方在收到乙方通知后，应尽快对情况进行评价，并确定是否同意迟延交货时间或延期提供服务。</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除本合同第19条规定情况外，如果乙方没有按照合同规定的时间交货和提供服务，甲方有权从货款中扣除误期赔偿费而不影响合同项下的其他补救方法，赔偿费按每周（一周按七日算，不足七日按一周计算）赔偿迟交货物的交货价或延期服务的服务费用的百分之零点五（0.5%）计收，直至交货或提供服务为止。但误期赔偿费的最高限额不超过合同价的百分之五（5%）。一旦达到误期赔偿的最高限额，甲方可以终止合同。</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3）如果乙方迟延交货，甲方有权终止全部或部分合同，并依其认为适当的条件和方法购买与未交货物类似的货物，乙方应对购买类似货物所超出的那部分费用负责。但是，乙方应继续执行合同中未终止的部分。</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16.合同的变更</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16.1在合同履行过程中，甲、乙双方可就合同履行的时间、地点和方式等协商进行变更。协商一致后，双方应签订书面的补充协议。</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16.2在不改变合同其他条款的前提下，甲方有权在合同价款百分之十的范围内追加与合同标的相同的货物或服务，并就此与乙方签订补充合同，乙方不得拒绝。</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16.3除双方签署书面协议，并成为合同不可分割的一部分外，本合同条件不得由任何变更。</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17.合同中止与终止</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17.1合同的中止</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（1）合同在履行过程中，因采购计划调整，甲方可以要求中止履行，待计划确定后继续老百姓；</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（2）合同履行过程中因供应商就采购过程或结果提起投诉的，甲方认为有必要或财政部门责令中止的，应当中止合同的履行。</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17.2合同的终止</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（1）合同因有效期限届满而终止；</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（2）乙方未能依照本合同约定条件履行合同，已构成根本性违约的，甲方有权终止本合同，并追究乙方的违约责任。</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（3）如果乙方丧失履约能力或被宣告破产，甲方可在任何时候以书面形式通知乙方终止合同而不给乙方补偿。</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（4）如果乙方在履行合同过程中有不正当竞争行为，甲方有权解除合同，并按《中华人民共和国反不正当竞争法》规定由有关部门追究其法律责任。</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（5）如果合同的履行将损害国家利益或社会公共利益，甲方有权终止合同的履行，给乙方造成损失的予以相应补偿。</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18.合同转让和分包</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18.1乙方不得以任何形式将合同转包。</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18.2乙方未在响应文件中说明，且未经甲方书面同意，乙方不得将合同的主体、关键性工作分包给他人。</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18.3根据政府采购支持中小企业发展政策规定，经甲方同意，获得政府采购合同的大型企业可依法向中小企业分包。</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19.不可抗力</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19.1不可抗力是指合同双方不可预见、不可避免、不可克服的自然灾害和社会事件。</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19.2任何一方对由于不可抗力造成的部门或全部不能履行合同不承担违约责任。但迟延履行后发生不可抗力的，不能免除责任。</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19.3遇有不可抗力的一方，应在三日内将事件的情况以书面形式通知另一方，并在事件发生后十日内，向另一方提交合同不能履行或部分不能履行或需要延期履行理由的报告。</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20.解决争议的方法</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20.1合同各方应通过友好协商，解决在执行合同过程中所发生的或与合同有关的一切争端。如从协商开始后十日内仍不能解决，可以向财政部门提请调解。</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20.2调解不成可以按政府采购合同专用条款中规定下列方式之一提起仲裁或诉讼：</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 xml:space="preserve">   （1）向甲方所在地仲裁机构提起仲裁；</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 xml:space="preserve">   （2）向甲方所在地人民法院提起诉讼。</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20.3如仲裁或诉讼事项不影响合同其它部分的履行，则在仲裁或诉讼期间，除正在进行仲裁或诉讼的部分外，合同的其它部分应继续执行。</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21.法律适用</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21.1本合同适用中华人民共和国现行法律、行政法规和规章，如合同条款与法律、行政法规和规章不一致的，按照法律、行政法规和规章修改本合同。</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22.通知</w:t>
      </w:r>
    </w:p>
    <w:p>
      <w:pPr>
        <w:pStyle w:val="20"/>
        <w:spacing w:line="360" w:lineRule="auto"/>
        <w:ind w:firstLine="0" w:firstLineChars="0"/>
        <w:rPr>
          <w:rFonts w:cs="Times New Roman" w:asciiTheme="minorEastAsia" w:hAnsiTheme="minorEastAsia" w:eastAsiaTheme="minorEastAsia"/>
          <w:bCs/>
        </w:rPr>
      </w:pPr>
      <w:r>
        <w:rPr>
          <w:rFonts w:cs="Times New Roman" w:asciiTheme="minorEastAsia" w:hAnsiTheme="minorEastAsia" w:eastAsiaTheme="minorEastAsia"/>
          <w:bCs/>
        </w:rPr>
        <w:t>22.1</w:t>
      </w:r>
      <w:r>
        <w:rPr>
          <w:rFonts w:hint="eastAsia" w:cs="Times New Roman" w:asciiTheme="minorEastAsia" w:hAnsiTheme="minorEastAsia" w:eastAsiaTheme="minorEastAsia"/>
          <w:bCs/>
        </w:rPr>
        <w:t>本合同一方给另一方的通知均应采用书面形式，传真或快递送到本合同中规定的对方的地址和办理签收手续。</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22.2通知以送到之日或通知书中规定的生效之日起生效，两者中以较迟之日为准。</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23.合同生效</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23.1本合同在合同各方签字盖章后生效</w:t>
      </w:r>
    </w:p>
    <w:p>
      <w:pPr>
        <w:pStyle w:val="20"/>
        <w:spacing w:line="360" w:lineRule="auto"/>
        <w:ind w:firstLine="0" w:firstLineChars="0"/>
        <w:rPr>
          <w:rFonts w:ascii="黑体" w:hAnsi="黑体" w:eastAsia="黑体" w:cs="Times New Roman"/>
          <w:b/>
          <w:bCs/>
          <w:sz w:val="24"/>
          <w:szCs w:val="24"/>
        </w:rPr>
      </w:pPr>
      <w:r>
        <w:rPr>
          <w:rFonts w:hint="eastAsia" w:ascii="黑体" w:hAnsi="黑体" w:eastAsia="黑体" w:cs="Times New Roman"/>
          <w:b/>
          <w:bCs/>
          <w:sz w:val="24"/>
          <w:szCs w:val="24"/>
        </w:rPr>
        <w:t>24.附则</w:t>
      </w:r>
    </w:p>
    <w:p>
      <w:pPr>
        <w:pStyle w:val="20"/>
        <w:spacing w:line="360" w:lineRule="auto"/>
        <w:ind w:firstLine="0" w:firstLineChars="0"/>
        <w:rPr>
          <w:rFonts w:cs="Times New Roman" w:asciiTheme="minorEastAsia" w:hAnsiTheme="minorEastAsia" w:eastAsiaTheme="minorEastAsia"/>
          <w:bCs/>
        </w:rPr>
      </w:pPr>
      <w:r>
        <w:rPr>
          <w:rFonts w:hint="eastAsia" w:cs="Times New Roman" w:asciiTheme="minorEastAsia" w:hAnsiTheme="minorEastAsia" w:eastAsiaTheme="minorEastAsia"/>
          <w:bCs/>
        </w:rPr>
        <w:t>24.1本合同未尽事宜，见政府采购合同专用条款。</w:t>
      </w:r>
    </w:p>
    <w:p>
      <w:pPr>
        <w:pStyle w:val="20"/>
        <w:spacing w:line="360" w:lineRule="auto"/>
        <w:ind w:firstLine="0" w:firstLineChars="0"/>
        <w:rPr>
          <w:rFonts w:cs="Times New Roman" w:asciiTheme="minorEastAsia" w:hAnsiTheme="minorEastAsia" w:eastAsiaTheme="minorEastAsia"/>
          <w:bCs/>
        </w:rPr>
      </w:pPr>
    </w:p>
    <w:p>
      <w:pPr>
        <w:pStyle w:val="20"/>
        <w:spacing w:line="360" w:lineRule="auto"/>
        <w:ind w:firstLine="0" w:firstLineChars="0"/>
        <w:rPr>
          <w:rFonts w:cs="Times New Roman" w:asciiTheme="minorEastAsia" w:hAnsiTheme="minorEastAsia" w:eastAsiaTheme="minorEastAsia"/>
          <w:bCs/>
        </w:rPr>
      </w:pPr>
    </w:p>
    <w:p>
      <w:pPr>
        <w:spacing w:line="360" w:lineRule="auto"/>
        <w:rPr>
          <w:rFonts w:ascii="黑体" w:hAnsi="黑体" w:eastAsia="黑体" w:cs="Times New Roman"/>
          <w:b/>
          <w:sz w:val="28"/>
          <w:szCs w:val="28"/>
        </w:rPr>
      </w:pPr>
      <w:r>
        <w:rPr>
          <w:rFonts w:hint="eastAsia" w:ascii="黑体" w:hAnsi="黑体" w:eastAsia="黑体" w:cs="Times New Roman"/>
          <w:b/>
          <w:sz w:val="28"/>
          <w:szCs w:val="28"/>
        </w:rPr>
        <w:t>三、政府采购合同专用条款</w:t>
      </w:r>
    </w:p>
    <w:p>
      <w:pPr>
        <w:spacing w:line="360" w:lineRule="auto"/>
        <w:rPr>
          <w:rFonts w:ascii="黑体" w:hAnsi="黑体" w:eastAsia="黑体" w:cs="Times New Roman"/>
          <w:b/>
          <w:sz w:val="28"/>
          <w:szCs w:val="28"/>
        </w:rPr>
      </w:pPr>
    </w:p>
    <w:p>
      <w:pPr>
        <w:spacing w:line="360" w:lineRule="auto"/>
        <w:jc w:val="center"/>
        <w:rPr>
          <w:rFonts w:ascii="黑体" w:hAnsi="黑体" w:eastAsia="黑体" w:cs="Times New Roman"/>
          <w:b/>
          <w:sz w:val="32"/>
          <w:szCs w:val="32"/>
        </w:rPr>
      </w:pPr>
      <w:r>
        <w:rPr>
          <w:rFonts w:hint="eastAsia" w:ascii="黑体" w:hAnsi="黑体" w:eastAsia="黑体" w:cs="Times New Roman"/>
          <w:b/>
          <w:sz w:val="32"/>
          <w:szCs w:val="32"/>
        </w:rPr>
        <w:t>政府采购合同专用条款（货物类）</w:t>
      </w:r>
    </w:p>
    <w:p>
      <w:pPr>
        <w:spacing w:line="360" w:lineRule="auto"/>
        <w:jc w:val="center"/>
        <w:rPr>
          <w:rFonts w:ascii="黑体" w:hAnsi="黑体" w:eastAsia="黑体" w:cs="Times New Roman"/>
          <w:b/>
          <w:sz w:val="28"/>
          <w:szCs w:val="28"/>
        </w:rPr>
      </w:pP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条款号               条款名称                  编列内容规定</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 xml:space="preserve">第1.2（6）款        </w:t>
      </w:r>
      <w:r>
        <w:rPr>
          <w:rFonts w:hint="eastAsia" w:cs="Times New Roman" w:asciiTheme="minorEastAsia" w:hAnsiTheme="minorEastAsia" w:eastAsiaTheme="minorEastAsia"/>
          <w:sz w:val="28"/>
          <w:szCs w:val="28"/>
          <w:lang w:val="en-US" w:eastAsia="zh-CN"/>
        </w:rPr>
        <w:t xml:space="preserve"> </w:t>
      </w:r>
      <w:r>
        <w:rPr>
          <w:rFonts w:hint="eastAsia" w:cs="Times New Roman" w:asciiTheme="minorEastAsia" w:hAnsiTheme="minorEastAsia" w:eastAsiaTheme="minorEastAsia"/>
          <w:sz w:val="28"/>
          <w:szCs w:val="28"/>
        </w:rPr>
        <w:t>项目现场</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第5.1条             履行合同的时间、地点及方式</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 xml:space="preserve">第9.2（1）款        </w:t>
      </w:r>
      <w:r>
        <w:rPr>
          <w:rFonts w:hint="eastAsia" w:cs="Times New Roman" w:asciiTheme="minorEastAsia" w:hAnsiTheme="minorEastAsia" w:eastAsiaTheme="minorEastAsia"/>
          <w:sz w:val="28"/>
          <w:szCs w:val="28"/>
          <w:lang w:val="en-US" w:eastAsia="zh-CN"/>
        </w:rPr>
        <w:t xml:space="preserve"> </w:t>
      </w:r>
      <w:r>
        <w:rPr>
          <w:rFonts w:hint="eastAsia" w:cs="Times New Roman" w:asciiTheme="minorEastAsia" w:hAnsiTheme="minorEastAsia" w:eastAsiaTheme="minorEastAsia"/>
          <w:sz w:val="28"/>
          <w:szCs w:val="28"/>
        </w:rPr>
        <w:t>质量保证期</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 xml:space="preserve">第9.2（3）款       </w:t>
      </w:r>
      <w:r>
        <w:rPr>
          <w:rFonts w:hint="eastAsia" w:cs="Times New Roman" w:asciiTheme="minorEastAsia" w:hAnsiTheme="minorEastAsia" w:eastAsiaTheme="minorEastAsia"/>
          <w:sz w:val="28"/>
          <w:szCs w:val="28"/>
          <w:lang w:val="en-US" w:eastAsia="zh-CN"/>
        </w:rPr>
        <w:t xml:space="preserve"> </w:t>
      </w:r>
      <w:r>
        <w:rPr>
          <w:rFonts w:hint="eastAsia" w:cs="Times New Roman" w:asciiTheme="minorEastAsia" w:hAnsiTheme="minorEastAsia" w:eastAsiaTheme="minorEastAsia"/>
          <w:sz w:val="28"/>
          <w:szCs w:val="28"/>
        </w:rPr>
        <w:t xml:space="preserve"> 响应时间</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 xml:space="preserve">第13.5条           </w:t>
      </w:r>
      <w:r>
        <w:rPr>
          <w:rFonts w:hint="eastAsia" w:cs="Times New Roman" w:asciiTheme="minorEastAsia" w:hAnsiTheme="minorEastAsia" w:eastAsiaTheme="minorEastAsia"/>
          <w:sz w:val="28"/>
          <w:szCs w:val="28"/>
          <w:lang w:val="en-US" w:eastAsia="zh-CN"/>
        </w:rPr>
        <w:t xml:space="preserve"> </w:t>
      </w:r>
      <w:r>
        <w:rPr>
          <w:rFonts w:hint="eastAsia" w:cs="Times New Roman" w:asciiTheme="minorEastAsia" w:hAnsiTheme="minorEastAsia" w:eastAsiaTheme="minorEastAsia"/>
          <w:sz w:val="28"/>
          <w:szCs w:val="28"/>
        </w:rPr>
        <w:t>合同价款支付方式和条件</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 xml:space="preserve">第14.2（6）款       </w:t>
      </w:r>
      <w:r>
        <w:rPr>
          <w:rFonts w:hint="eastAsia" w:cs="Times New Roman" w:asciiTheme="minorEastAsia" w:hAnsiTheme="minorEastAsia" w:eastAsiaTheme="minorEastAsia"/>
          <w:sz w:val="28"/>
          <w:szCs w:val="28"/>
          <w:lang w:val="en-US" w:eastAsia="zh-CN"/>
        </w:rPr>
        <w:t xml:space="preserve"> </w:t>
      </w:r>
      <w:r>
        <w:rPr>
          <w:rFonts w:hint="eastAsia" w:cs="Times New Roman" w:asciiTheme="minorEastAsia" w:hAnsiTheme="minorEastAsia" w:eastAsiaTheme="minorEastAsia"/>
          <w:sz w:val="28"/>
          <w:szCs w:val="28"/>
        </w:rPr>
        <w:t>伴随服务</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第20.2条            解决争议的方式</w:t>
      </w:r>
    </w:p>
    <w:p>
      <w:pPr>
        <w:spacing w:line="360" w:lineRule="auto"/>
        <w:rPr>
          <w:rFonts w:cs="Times New Roman" w:asciiTheme="minorEastAsia" w:hAnsiTheme="minorEastAsia" w:eastAsiaTheme="minorEastAsia"/>
          <w:sz w:val="28"/>
          <w:szCs w:val="28"/>
        </w:rPr>
      </w:pPr>
      <w:r>
        <w:rPr>
          <w:rFonts w:hint="eastAsia" w:cs="Times New Roman" w:asciiTheme="minorEastAsia" w:hAnsiTheme="minorEastAsia" w:eastAsiaTheme="minorEastAsia"/>
          <w:sz w:val="28"/>
          <w:szCs w:val="28"/>
        </w:rPr>
        <w:t>第24.1条            合同未尽事项</w:t>
      </w:r>
    </w:p>
    <w:p>
      <w:pPr>
        <w:spacing w:line="360" w:lineRule="auto"/>
        <w:rPr>
          <w:rFonts w:cs="Times New Roman" w:asciiTheme="minorEastAsia" w:hAnsiTheme="minorEastAsia" w:eastAsiaTheme="minorEastAsia"/>
          <w:sz w:val="28"/>
          <w:szCs w:val="28"/>
        </w:rPr>
      </w:pPr>
    </w:p>
    <w:p>
      <w:pPr>
        <w:spacing w:line="360" w:lineRule="auto"/>
        <w:rPr>
          <w:rFonts w:cs="Times New Roman" w:asciiTheme="minorEastAsia" w:hAnsiTheme="minorEastAsia" w:eastAsiaTheme="minorEastAsia"/>
          <w:sz w:val="28"/>
          <w:szCs w:val="28"/>
        </w:rPr>
      </w:pPr>
    </w:p>
    <w:p>
      <w:pPr>
        <w:spacing w:line="360" w:lineRule="auto"/>
        <w:rPr>
          <w:rFonts w:cs="Times New Roman" w:asciiTheme="minorEastAsia" w:hAnsiTheme="minorEastAsia" w:eastAsiaTheme="minorEastAsia"/>
          <w:sz w:val="28"/>
          <w:szCs w:val="28"/>
        </w:rPr>
      </w:pPr>
    </w:p>
    <w:p>
      <w:pPr>
        <w:spacing w:line="360" w:lineRule="auto"/>
        <w:rPr>
          <w:rFonts w:cs="Times New Roman" w:asciiTheme="minorEastAsia" w:hAnsiTheme="minorEastAsia" w:eastAsiaTheme="minorEastAsia"/>
          <w:sz w:val="28"/>
          <w:szCs w:val="28"/>
        </w:rPr>
      </w:pPr>
    </w:p>
    <w:p>
      <w:pPr>
        <w:spacing w:line="360" w:lineRule="auto"/>
        <w:rPr>
          <w:rFonts w:cs="Times New Roman" w:asciiTheme="minorEastAsia" w:hAnsiTheme="minorEastAsia" w:eastAsiaTheme="minorEastAsia"/>
          <w:sz w:val="28"/>
          <w:szCs w:val="28"/>
        </w:rPr>
      </w:pPr>
    </w:p>
    <w:p>
      <w:pPr>
        <w:numPr>
          <w:ilvl w:val="0"/>
          <w:numId w:val="0"/>
        </w:numPr>
        <w:spacing w:line="360" w:lineRule="auto"/>
        <w:jc w:val="both"/>
        <w:rPr>
          <w:rFonts w:hint="eastAsia" w:cs="Times New Roman" w:asciiTheme="minorEastAsia" w:hAnsiTheme="minorEastAsia" w:eastAsiaTheme="minorEastAsia"/>
          <w:b/>
          <w:bCs/>
          <w:color w:val="0C0C0C" w:themeColor="text1" w:themeTint="F2"/>
          <w:sz w:val="36"/>
          <w:szCs w:val="36"/>
        </w:rPr>
      </w:pPr>
    </w:p>
    <w:p>
      <w:pPr>
        <w:numPr>
          <w:ilvl w:val="0"/>
          <w:numId w:val="6"/>
        </w:numPr>
        <w:spacing w:line="360" w:lineRule="auto"/>
        <w:jc w:val="center"/>
        <w:rPr>
          <w:rFonts w:hint="eastAsia" w:cs="Times New Roman" w:asciiTheme="minorEastAsia" w:hAnsiTheme="minorEastAsia" w:eastAsiaTheme="minorEastAsia"/>
          <w:b/>
          <w:bCs/>
          <w:color w:val="0C0C0C" w:themeColor="text1" w:themeTint="F2"/>
          <w:sz w:val="36"/>
          <w:szCs w:val="36"/>
        </w:rPr>
      </w:pPr>
      <w:r>
        <w:rPr>
          <w:rFonts w:hint="eastAsia" w:cs="Times New Roman" w:asciiTheme="minorEastAsia" w:hAnsiTheme="minorEastAsia" w:eastAsiaTheme="minorEastAsia"/>
          <w:b/>
          <w:bCs/>
          <w:color w:val="0C0C0C" w:themeColor="text1" w:themeTint="F2"/>
          <w:sz w:val="36"/>
          <w:szCs w:val="36"/>
        </w:rPr>
        <w:t xml:space="preserve"> 采购需求</w:t>
      </w:r>
    </w:p>
    <w:p>
      <w:pPr>
        <w:numPr>
          <w:ilvl w:val="0"/>
          <w:numId w:val="0"/>
        </w:numPr>
        <w:spacing w:line="360" w:lineRule="auto"/>
        <w:jc w:val="both"/>
        <w:rPr>
          <w:rFonts w:hint="eastAsia" w:cs="Times New Roman" w:asciiTheme="minorEastAsia" w:hAnsiTheme="minorEastAsia" w:eastAsiaTheme="minorEastAsia"/>
          <w:b/>
          <w:bCs/>
          <w:color w:val="0C0C0C" w:themeColor="text1" w:themeTint="F2"/>
          <w:sz w:val="36"/>
          <w:szCs w:val="36"/>
        </w:rPr>
      </w:pPr>
    </w:p>
    <w:p>
      <w:pPr>
        <w:numPr>
          <w:ilvl w:val="0"/>
          <w:numId w:val="7"/>
        </w:numPr>
        <w:spacing w:line="360" w:lineRule="auto"/>
        <w:rPr>
          <w:rFonts w:hint="eastAsia" w:ascii="宋体" w:hAnsi="宋体"/>
          <w:iCs/>
          <w:lang w:eastAsia="zh-CN"/>
        </w:rPr>
      </w:pPr>
      <w:r>
        <w:rPr>
          <w:rFonts w:hint="eastAsia" w:cs="Times New Roman" w:asciiTheme="minorEastAsia" w:hAnsiTheme="minorEastAsia" w:eastAsiaTheme="minorEastAsia"/>
          <w:bCs/>
          <w:color w:val="0C0C0C" w:themeColor="text1" w:themeTint="F2"/>
          <w:sz w:val="21"/>
          <w:szCs w:val="21"/>
          <w:lang w:eastAsia="zh-CN"/>
        </w:rPr>
        <w:t>采购项目名称：</w:t>
      </w:r>
      <w:r>
        <w:rPr>
          <w:rFonts w:hint="eastAsia" w:ascii="宋体" w:hAnsi="宋体"/>
          <w:iCs/>
          <w:lang w:eastAsia="zh-CN"/>
        </w:rPr>
        <w:t>华容县农业局编印“三农”政策科技宣传资料</w:t>
      </w:r>
    </w:p>
    <w:p>
      <w:pPr>
        <w:numPr>
          <w:ilvl w:val="0"/>
          <w:numId w:val="0"/>
        </w:numPr>
        <w:spacing w:line="360" w:lineRule="auto"/>
        <w:rPr>
          <w:rFonts w:hint="eastAsia" w:ascii="宋体" w:hAnsi="宋体"/>
          <w:iCs/>
          <w:lang w:eastAsia="zh-CN"/>
        </w:rPr>
      </w:pPr>
    </w:p>
    <w:p>
      <w:pPr>
        <w:numPr>
          <w:ilvl w:val="0"/>
          <w:numId w:val="7"/>
        </w:numPr>
        <w:spacing w:line="360" w:lineRule="auto"/>
        <w:rPr>
          <w:rFonts w:hint="eastAsia" w:ascii="宋体" w:hAnsi="宋体"/>
          <w:iCs/>
          <w:lang w:eastAsia="zh-CN"/>
        </w:rPr>
      </w:pPr>
      <w:r>
        <w:rPr>
          <w:rFonts w:hint="eastAsia" w:cs="Times New Roman" w:asciiTheme="minorEastAsia" w:hAnsiTheme="minorEastAsia" w:eastAsiaTheme="minorEastAsia"/>
          <w:bCs/>
          <w:color w:val="0C0C0C" w:themeColor="text1" w:themeTint="F2"/>
          <w:sz w:val="21"/>
          <w:szCs w:val="21"/>
          <w:lang w:eastAsia="zh-CN"/>
        </w:rPr>
        <w:t>供货范围：</w:t>
      </w:r>
      <w:r>
        <w:rPr>
          <w:rFonts w:hint="eastAsia" w:ascii="宋体" w:hAnsi="宋体"/>
          <w:iCs/>
          <w:color w:val="0C0C0C" w:themeColor="text1" w:themeTint="F2"/>
          <w:lang w:eastAsia="zh-CN"/>
        </w:rPr>
        <w:t>编印华容县城“三农”</w:t>
      </w:r>
      <w:r>
        <w:rPr>
          <w:rFonts w:hint="eastAsia" w:ascii="宋体" w:hAnsi="宋体"/>
          <w:iCs/>
          <w:lang w:eastAsia="zh-CN"/>
        </w:rPr>
        <w:t>政策科技宣传资料</w:t>
      </w:r>
    </w:p>
    <w:p>
      <w:pPr>
        <w:numPr>
          <w:ilvl w:val="0"/>
          <w:numId w:val="0"/>
        </w:numPr>
        <w:spacing w:line="360" w:lineRule="auto"/>
        <w:rPr>
          <w:rFonts w:hint="eastAsia" w:ascii="宋体" w:hAnsi="宋体"/>
          <w:iCs/>
          <w:lang w:eastAsia="zh-CN"/>
        </w:rPr>
      </w:pPr>
    </w:p>
    <w:p>
      <w:pPr>
        <w:numPr>
          <w:ilvl w:val="0"/>
          <w:numId w:val="7"/>
        </w:numPr>
        <w:spacing w:line="360" w:lineRule="auto"/>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数量：七套 ，两万份</w:t>
      </w:r>
    </w:p>
    <w:p>
      <w:pPr>
        <w:numPr>
          <w:ilvl w:val="0"/>
          <w:numId w:val="0"/>
        </w:numPr>
        <w:spacing w:line="360" w:lineRule="auto"/>
        <w:rPr>
          <w:rFonts w:hint="eastAsia" w:cs="Times New Roman" w:asciiTheme="minorEastAsia" w:hAnsiTheme="minorEastAsia" w:eastAsiaTheme="minorEastAsia"/>
          <w:bCs/>
          <w:color w:val="0C0C0C" w:themeColor="text1" w:themeTint="F2"/>
          <w:sz w:val="21"/>
          <w:szCs w:val="21"/>
          <w:lang w:eastAsia="zh-CN"/>
        </w:rPr>
      </w:pPr>
    </w:p>
    <w:p>
      <w:pPr>
        <w:numPr>
          <w:ilvl w:val="0"/>
          <w:numId w:val="7"/>
        </w:numPr>
        <w:spacing w:line="360" w:lineRule="auto"/>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用途的简要说明：</w:t>
      </w:r>
    </w:p>
    <w:p>
      <w:pPr>
        <w:numPr>
          <w:ilvl w:val="0"/>
          <w:numId w:val="0"/>
        </w:numPr>
        <w:spacing w:line="360" w:lineRule="auto"/>
        <w:ind w:firstLine="630" w:firstLineChars="300"/>
        <w:rPr>
          <w:rFonts w:hint="eastAsia" w:ascii="宋体" w:hAnsi="宋体"/>
          <w:szCs w:val="21"/>
        </w:rPr>
      </w:pPr>
      <w:r>
        <w:rPr>
          <w:rFonts w:hint="eastAsia" w:ascii="宋体" w:hAnsi="宋体"/>
          <w:szCs w:val="21"/>
        </w:rPr>
        <w:t>宣传农业科普知识，是为农产品增产，特别是食品安全提供可靠的技术保障；为调整农业结构，增加农民收入提供强有力的技术保障；为生态环境建设提供全面的技术服务；为提高我国农业国际竞争力提供坚实的技术支持。</w:t>
      </w: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ind w:firstLine="630" w:firstLineChars="300"/>
        <w:rPr>
          <w:rFonts w:hint="eastAsia" w:ascii="宋体" w:hAnsi="宋体"/>
          <w:szCs w:val="21"/>
        </w:rPr>
      </w:pPr>
    </w:p>
    <w:p>
      <w:pPr>
        <w:numPr>
          <w:ilvl w:val="0"/>
          <w:numId w:val="0"/>
        </w:numPr>
        <w:spacing w:line="360" w:lineRule="auto"/>
        <w:rPr>
          <w:rFonts w:hint="eastAsia" w:ascii="宋体" w:hAnsi="宋体"/>
          <w:szCs w:val="21"/>
          <w:lang w:eastAsia="zh-CN"/>
        </w:rPr>
      </w:pPr>
    </w:p>
    <w:p>
      <w:pPr>
        <w:numPr>
          <w:ilvl w:val="0"/>
          <w:numId w:val="8"/>
        </w:numPr>
        <w:spacing w:line="360" w:lineRule="auto"/>
        <w:rPr>
          <w:rFonts w:hint="eastAsia" w:ascii="宋体" w:hAnsi="宋体"/>
          <w:szCs w:val="21"/>
        </w:rPr>
      </w:pPr>
      <w:r>
        <w:rPr>
          <w:rFonts w:hint="eastAsia" w:cs="Times New Roman" w:asciiTheme="minorEastAsia" w:hAnsiTheme="minorEastAsia" w:eastAsiaTheme="minorEastAsia"/>
          <w:bCs/>
          <w:color w:val="000000" w:themeColor="text1"/>
          <w:sz w:val="21"/>
          <w:szCs w:val="21"/>
          <w:lang w:eastAsia="zh-CN"/>
        </w:rPr>
        <w:t>技术规格、参数与要求：74</w:t>
      </w:r>
      <w:r>
        <w:rPr>
          <w:rFonts w:hint="eastAsia" w:cs="Times New Roman" w:asciiTheme="minorEastAsia" w:hAnsiTheme="minorEastAsia" w:eastAsiaTheme="minorEastAsia"/>
          <w:bCs/>
          <w:color w:val="0C0C0C" w:themeColor="text1" w:themeTint="F2"/>
          <w:sz w:val="21"/>
          <w:szCs w:val="21"/>
          <w:lang w:eastAsia="zh-CN"/>
        </w:rPr>
        <w:t>0mm×500mm</w:t>
      </w:r>
      <w:r>
        <w:rPr>
          <w:rFonts w:hint="eastAsia" w:ascii="宋体" w:hAnsi="宋体"/>
          <w:szCs w:val="21"/>
        </w:rPr>
        <w:t>，纸张为250g进口铜版纸</w:t>
      </w:r>
      <w:r>
        <w:rPr>
          <w:rFonts w:hint="eastAsia" w:ascii="宋体" w:hAnsi="宋体"/>
          <w:szCs w:val="21"/>
          <w:lang w:eastAsia="zh-CN"/>
        </w:rPr>
        <w:t>。</w:t>
      </w:r>
    </w:p>
    <w:p>
      <w:pPr>
        <w:numPr>
          <w:ilvl w:val="0"/>
          <w:numId w:val="0"/>
        </w:numPr>
        <w:spacing w:line="360" w:lineRule="auto"/>
        <w:rPr>
          <w:rFonts w:hint="eastAsia" w:ascii="宋体" w:hAnsi="宋体"/>
          <w:szCs w:val="21"/>
          <w:lang w:val="en-US" w:eastAsia="zh-CN"/>
        </w:rPr>
      </w:pPr>
      <w:r>
        <w:rPr>
          <w:rFonts w:hint="eastAsia" w:ascii="宋体" w:hAnsi="宋体"/>
          <w:szCs w:val="21"/>
          <w:lang w:val="en-US" w:eastAsia="zh-CN"/>
        </w:rPr>
        <w:t xml:space="preserve">         该项目采购的资料内容要求：根据下面信息编印“三农”政策科技宣传资料</w:t>
      </w:r>
    </w:p>
    <w:p>
      <w:pPr>
        <w:numPr>
          <w:ilvl w:val="0"/>
          <w:numId w:val="0"/>
        </w:numPr>
        <w:spacing w:line="360" w:lineRule="auto"/>
        <w:rPr>
          <w:rFonts w:hint="eastAsia" w:ascii="宋体" w:hAnsi="宋体"/>
          <w:szCs w:val="21"/>
          <w:lang w:val="en-US" w:eastAsia="zh-CN"/>
        </w:rPr>
      </w:pPr>
      <w:r>
        <w:drawing>
          <wp:anchor distT="0" distB="0" distL="114300" distR="114300" simplePos="0" relativeHeight="251658240" behindDoc="1" locked="0" layoutInCell="1" allowOverlap="1">
            <wp:simplePos x="0" y="0"/>
            <wp:positionH relativeFrom="column">
              <wp:posOffset>-935990</wp:posOffset>
            </wp:positionH>
            <wp:positionV relativeFrom="paragraph">
              <wp:posOffset>80010</wp:posOffset>
            </wp:positionV>
            <wp:extent cx="7145020" cy="3889375"/>
            <wp:effectExtent l="0" t="0" r="17780" b="15875"/>
            <wp:wrapNone/>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6"/>
                    <a:stretch>
                      <a:fillRect/>
                    </a:stretch>
                  </pic:blipFill>
                  <pic:spPr>
                    <a:xfrm>
                      <a:off x="0" y="0"/>
                      <a:ext cx="7145020" cy="3889375"/>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39808" behindDoc="1" locked="0" layoutInCell="1" allowOverlap="1">
            <wp:simplePos x="0" y="0"/>
            <wp:positionH relativeFrom="column">
              <wp:posOffset>1697355</wp:posOffset>
            </wp:positionH>
            <wp:positionV relativeFrom="paragraph">
              <wp:posOffset>206375</wp:posOffset>
            </wp:positionV>
            <wp:extent cx="2091055" cy="1400175"/>
            <wp:effectExtent l="0" t="0" r="4445" b="9525"/>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7"/>
                    <a:stretch>
                      <a:fillRect/>
                    </a:stretch>
                  </pic:blipFill>
                  <pic:spPr>
                    <a:xfrm>
                      <a:off x="0" y="0"/>
                      <a:ext cx="2091055" cy="1400175"/>
                    </a:xfrm>
                    <a:prstGeom prst="rect">
                      <a:avLst/>
                    </a:prstGeom>
                    <a:noFill/>
                    <a:ln w="9525">
                      <a:noFill/>
                    </a:ln>
                  </pic:spPr>
                </pic:pic>
              </a:graphicData>
            </a:graphic>
          </wp:anchor>
        </w:drawing>
      </w:r>
      <w:r>
        <w:drawing>
          <wp:anchor distT="0" distB="0" distL="114300" distR="114300" simplePos="0" relativeHeight="251659264" behindDoc="1" locked="0" layoutInCell="1" allowOverlap="1">
            <wp:simplePos x="0" y="0"/>
            <wp:positionH relativeFrom="column">
              <wp:posOffset>-902970</wp:posOffset>
            </wp:positionH>
            <wp:positionV relativeFrom="paragraph">
              <wp:posOffset>215900</wp:posOffset>
            </wp:positionV>
            <wp:extent cx="2495550" cy="1400175"/>
            <wp:effectExtent l="0" t="0" r="0" b="9525"/>
            <wp:wrapNone/>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8"/>
                    <a:stretch>
                      <a:fillRect/>
                    </a:stretch>
                  </pic:blipFill>
                  <pic:spPr>
                    <a:xfrm>
                      <a:off x="0" y="0"/>
                      <a:ext cx="2495550" cy="1400175"/>
                    </a:xfrm>
                    <a:prstGeom prst="rect">
                      <a:avLst/>
                    </a:prstGeom>
                    <a:noFill/>
                    <a:ln w="9525">
                      <a:noFill/>
                    </a:ln>
                  </pic:spPr>
                </pic:pic>
              </a:graphicData>
            </a:graphic>
          </wp:anchor>
        </w:drawing>
      </w:r>
      <w:r>
        <w:drawing>
          <wp:anchor distT="0" distB="0" distL="114300" distR="114300" simplePos="0" relativeHeight="251640832" behindDoc="1" locked="0" layoutInCell="1" allowOverlap="1">
            <wp:simplePos x="0" y="0"/>
            <wp:positionH relativeFrom="column">
              <wp:posOffset>3916680</wp:posOffset>
            </wp:positionH>
            <wp:positionV relativeFrom="paragraph">
              <wp:posOffset>225425</wp:posOffset>
            </wp:positionV>
            <wp:extent cx="2295525" cy="1400175"/>
            <wp:effectExtent l="0" t="0" r="9525" b="9525"/>
            <wp:wrapNone/>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9"/>
                    <a:srcRect b="8696"/>
                    <a:stretch>
                      <a:fillRect/>
                    </a:stretch>
                  </pic:blipFill>
                  <pic:spPr>
                    <a:xfrm>
                      <a:off x="0" y="0"/>
                      <a:ext cx="2295525" cy="1400175"/>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pStyle w:val="3"/>
        <w:jc w:val="left"/>
        <w:rPr>
          <w:rFonts w:hint="eastAsia" w:hAnsi="宋体" w:cs="宋体"/>
          <w:b/>
          <w:sz w:val="28"/>
          <w:szCs w:val="28"/>
        </w:rPr>
      </w:pPr>
    </w:p>
    <w:p>
      <w:pPr>
        <w:pStyle w:val="3"/>
        <w:jc w:val="left"/>
        <w:rPr>
          <w:rFonts w:hAnsi="宋体" w:cs="宋体"/>
          <w:b/>
          <w:sz w:val="28"/>
          <w:szCs w:val="28"/>
        </w:rPr>
      </w:pPr>
      <w:r>
        <w:rPr>
          <w:rFonts w:hint="eastAsia" w:hAnsi="宋体" w:cs="宋体"/>
          <w:b/>
          <w:sz w:val="28"/>
          <w:szCs w:val="28"/>
        </w:rPr>
        <w:t>热烈祝贺“华容芥菜”</w:t>
      </w:r>
      <w:r>
        <w:rPr>
          <w:rFonts w:ascii="Arial" w:hAnsi="Arial" w:cs="Arial"/>
          <w:b/>
          <w:color w:val="333333"/>
          <w:sz w:val="28"/>
          <w:szCs w:val="28"/>
          <w:shd w:val="clear" w:color="auto" w:fill="FFFFFF"/>
        </w:rPr>
        <w:t xml:space="preserve"> </w:t>
      </w:r>
      <w:r>
        <w:rPr>
          <w:rFonts w:hint="eastAsia" w:ascii="Arial" w:hAnsi="Arial" w:cs="Arial"/>
          <w:b/>
          <w:color w:val="333333"/>
          <w:sz w:val="28"/>
          <w:szCs w:val="28"/>
          <w:shd w:val="clear" w:color="auto" w:fill="FFFFFF"/>
        </w:rPr>
        <w:t>荣获</w:t>
      </w:r>
      <w:r>
        <w:rPr>
          <w:rFonts w:ascii="Arial" w:hAnsi="Arial" w:cs="Arial"/>
          <w:b/>
          <w:color w:val="333333"/>
          <w:sz w:val="28"/>
          <w:szCs w:val="28"/>
          <w:shd w:val="clear" w:color="auto" w:fill="FFFFFF"/>
        </w:rPr>
        <w:t>“2017</w:t>
      </w:r>
      <w:r>
        <w:rPr>
          <w:rFonts w:hint="eastAsia" w:ascii="Arial" w:hAnsi="Arial" w:cs="Arial"/>
          <w:b/>
          <w:color w:val="333333"/>
          <w:sz w:val="28"/>
          <w:szCs w:val="28"/>
          <w:shd w:val="clear" w:color="auto" w:fill="FFFFFF"/>
        </w:rPr>
        <w:t>年中国百强农产品区域公用品牌</w:t>
      </w:r>
      <w:r>
        <w:rPr>
          <w:rFonts w:ascii="Arial" w:hAnsi="Arial" w:cs="Arial"/>
          <w:b/>
          <w:color w:val="333333"/>
          <w:sz w:val="28"/>
          <w:szCs w:val="28"/>
          <w:shd w:val="clear" w:color="auto" w:fill="FFFFFF"/>
        </w:rPr>
        <w:t>”</w:t>
      </w:r>
      <w:r>
        <w:rPr>
          <w:rFonts w:hint="eastAsia" w:ascii="Arial" w:hAnsi="Arial" w:cs="Arial"/>
          <w:b/>
          <w:color w:val="333333"/>
          <w:sz w:val="28"/>
          <w:szCs w:val="28"/>
          <w:shd w:val="clear" w:color="auto" w:fill="FFFFFF"/>
        </w:rPr>
        <w:t>称号</w:t>
      </w:r>
      <w:bookmarkStart w:id="0" w:name="_GoBack"/>
      <w:bookmarkEnd w:id="0"/>
    </w:p>
    <w:p>
      <w:pPr>
        <w:pStyle w:val="3"/>
        <w:jc w:val="left"/>
        <w:rPr>
          <w:rFonts w:hint="eastAsia" w:hAnsi="宋体" w:cs="宋体"/>
          <w:b/>
          <w:sz w:val="28"/>
          <w:szCs w:val="28"/>
        </w:rPr>
      </w:pPr>
    </w:p>
    <w:p>
      <w:pPr>
        <w:pStyle w:val="3"/>
        <w:jc w:val="left"/>
        <w:rPr>
          <w:rFonts w:hint="eastAsia" w:hAnsi="宋体" w:cs="宋体"/>
          <w:b/>
          <w:sz w:val="28"/>
          <w:szCs w:val="28"/>
        </w:rPr>
      </w:pPr>
      <w:r>
        <w:drawing>
          <wp:anchor distT="0" distB="0" distL="114300" distR="114300" simplePos="0" relativeHeight="251648000" behindDoc="1" locked="0" layoutInCell="1" allowOverlap="1">
            <wp:simplePos x="0" y="0"/>
            <wp:positionH relativeFrom="column">
              <wp:posOffset>-763905</wp:posOffset>
            </wp:positionH>
            <wp:positionV relativeFrom="paragraph">
              <wp:posOffset>-420370</wp:posOffset>
            </wp:positionV>
            <wp:extent cx="6772275" cy="3324225"/>
            <wp:effectExtent l="0" t="0" r="9525" b="8255"/>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0"/>
                    <a:srcRect t="-11653" b="24931"/>
                    <a:stretch>
                      <a:fillRect/>
                    </a:stretch>
                  </pic:blipFill>
                  <pic:spPr>
                    <a:xfrm>
                      <a:off x="0" y="0"/>
                      <a:ext cx="6772275" cy="3324225"/>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44928" behindDoc="0" locked="0" layoutInCell="1" allowOverlap="1">
            <wp:simplePos x="0" y="0"/>
            <wp:positionH relativeFrom="column">
              <wp:posOffset>3941445</wp:posOffset>
            </wp:positionH>
            <wp:positionV relativeFrom="paragraph">
              <wp:posOffset>225425</wp:posOffset>
            </wp:positionV>
            <wp:extent cx="2066925" cy="1352550"/>
            <wp:effectExtent l="0" t="0" r="9525" b="0"/>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1"/>
                    <a:stretch>
                      <a:fillRect/>
                    </a:stretch>
                  </pic:blipFill>
                  <pic:spPr>
                    <a:xfrm>
                      <a:off x="0" y="0"/>
                      <a:ext cx="2066925" cy="1352550"/>
                    </a:xfrm>
                    <a:prstGeom prst="rect">
                      <a:avLst/>
                    </a:prstGeom>
                    <a:noFill/>
                    <a:ln w="9525">
                      <a:noFill/>
                    </a:ln>
                  </pic:spPr>
                </pic:pic>
              </a:graphicData>
            </a:graphic>
          </wp:anchor>
        </w:drawing>
      </w:r>
      <w:r>
        <w:drawing>
          <wp:anchor distT="0" distB="0" distL="114300" distR="114300" simplePos="0" relativeHeight="251649024" behindDoc="1" locked="0" layoutInCell="1" allowOverlap="1">
            <wp:simplePos x="0" y="0"/>
            <wp:positionH relativeFrom="column">
              <wp:posOffset>1560195</wp:posOffset>
            </wp:positionH>
            <wp:positionV relativeFrom="paragraph">
              <wp:posOffset>273050</wp:posOffset>
            </wp:positionV>
            <wp:extent cx="2314575" cy="1295400"/>
            <wp:effectExtent l="0" t="0" r="9525" b="0"/>
            <wp:wrapNone/>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12"/>
                    <a:stretch>
                      <a:fillRect/>
                    </a:stretch>
                  </pic:blipFill>
                  <pic:spPr>
                    <a:xfrm>
                      <a:off x="0" y="0"/>
                      <a:ext cx="2314575" cy="1295400"/>
                    </a:xfrm>
                    <a:prstGeom prst="rect">
                      <a:avLst/>
                    </a:prstGeom>
                    <a:noFill/>
                    <a:ln w="9525">
                      <a:noFill/>
                    </a:ln>
                  </pic:spPr>
                </pic:pic>
              </a:graphicData>
            </a:graphic>
          </wp:anchor>
        </w:drawing>
      </w:r>
      <w:r>
        <w:drawing>
          <wp:anchor distT="0" distB="0" distL="114300" distR="114300" simplePos="0" relativeHeight="251645952" behindDoc="1" locked="0" layoutInCell="1" allowOverlap="1">
            <wp:simplePos x="0" y="0"/>
            <wp:positionH relativeFrom="column">
              <wp:posOffset>-744855</wp:posOffset>
            </wp:positionH>
            <wp:positionV relativeFrom="paragraph">
              <wp:posOffset>273050</wp:posOffset>
            </wp:positionV>
            <wp:extent cx="2204085" cy="1295400"/>
            <wp:effectExtent l="0" t="0" r="5715" b="0"/>
            <wp:wrapNone/>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13"/>
                    <a:srcRect t="8772" b="12865"/>
                    <a:stretch>
                      <a:fillRect/>
                    </a:stretch>
                  </pic:blipFill>
                  <pic:spPr>
                    <a:xfrm>
                      <a:off x="0" y="0"/>
                      <a:ext cx="2204085" cy="129540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spacing w:beforeLines="100" w:afterLines="50" w:line="200" w:lineRule="exact"/>
        <w:jc w:val="center"/>
        <w:rPr>
          <w:b/>
          <w:bCs/>
        </w:rPr>
      </w:pPr>
      <w:r>
        <w:rPr>
          <w:rFonts w:hint="eastAsia" w:ascii="宋体" w:hAnsi="宋体"/>
          <w:b/>
          <w:bCs/>
        </w:rPr>
        <w:t>华容芥菜绿色高产高效栽培技术要点</w:t>
      </w:r>
    </w:p>
    <w:p>
      <w:pPr>
        <w:spacing w:line="200" w:lineRule="exact"/>
        <w:rPr>
          <w:color w:val="000000"/>
          <w:sz w:val="18"/>
          <w:szCs w:val="18"/>
        </w:rPr>
      </w:pPr>
    </w:p>
    <w:p>
      <w:pPr>
        <w:spacing w:line="240" w:lineRule="exact"/>
        <w:rPr>
          <w:sz w:val="21"/>
          <w:szCs w:val="21"/>
        </w:rPr>
      </w:pPr>
      <w:r>
        <w:rPr>
          <w:rFonts w:hint="eastAsia"/>
          <w:color w:val="000000"/>
          <w:sz w:val="21"/>
          <w:szCs w:val="21"/>
        </w:rPr>
        <w:t>一、</w:t>
      </w:r>
      <w:r>
        <w:rPr>
          <w:rFonts w:hint="eastAsia" w:ascii="宋体" w:hAnsi="宋体"/>
          <w:b/>
          <w:color w:val="000000"/>
          <w:sz w:val="21"/>
          <w:szCs w:val="21"/>
        </w:rPr>
        <w:t>产地环境</w:t>
      </w:r>
    </w:p>
    <w:p>
      <w:pPr>
        <w:spacing w:line="240" w:lineRule="exact"/>
        <w:ind w:firstLine="420" w:firstLineChars="200"/>
        <w:rPr>
          <w:sz w:val="21"/>
          <w:szCs w:val="21"/>
        </w:rPr>
      </w:pPr>
      <w:r>
        <w:rPr>
          <w:rFonts w:hint="eastAsia"/>
          <w:color w:val="000000"/>
          <w:sz w:val="21"/>
          <w:szCs w:val="21"/>
        </w:rPr>
        <w:t>符合</w:t>
      </w:r>
      <w:r>
        <w:rPr>
          <w:color w:val="000000"/>
          <w:sz w:val="21"/>
          <w:szCs w:val="21"/>
        </w:rPr>
        <w:t>NY5010</w:t>
      </w:r>
      <w:r>
        <w:rPr>
          <w:rFonts w:hint="eastAsia"/>
          <w:color w:val="000000"/>
          <w:sz w:val="21"/>
          <w:szCs w:val="21"/>
        </w:rPr>
        <w:t>规定，无废气、废水、废渣污染且远离城区。土壤耕层深厚，结构和理化性状良好，肥力中等以上，排灌方便的田块。在</w:t>
      </w:r>
      <w:r>
        <w:rPr>
          <w:color w:val="000000"/>
          <w:sz w:val="21"/>
          <w:szCs w:val="21"/>
        </w:rPr>
        <w:t>2</w:t>
      </w:r>
      <w:r>
        <w:rPr>
          <w:rFonts w:hint="eastAsia"/>
          <w:color w:val="000000"/>
          <w:sz w:val="21"/>
          <w:szCs w:val="21"/>
        </w:rPr>
        <w:t>～</w:t>
      </w:r>
      <w:r>
        <w:rPr>
          <w:color w:val="000000"/>
          <w:sz w:val="21"/>
          <w:szCs w:val="21"/>
        </w:rPr>
        <w:t>3</w:t>
      </w:r>
      <w:r>
        <w:rPr>
          <w:rFonts w:hint="eastAsia"/>
          <w:color w:val="000000"/>
          <w:sz w:val="21"/>
          <w:szCs w:val="21"/>
        </w:rPr>
        <w:t>年内未种植过十字花科作物的土壤为宜。</w:t>
      </w:r>
    </w:p>
    <w:p>
      <w:pPr>
        <w:pStyle w:val="25"/>
        <w:spacing w:beforeLines="0" w:afterLines="0" w:line="240" w:lineRule="exact"/>
        <w:rPr>
          <w:rFonts w:ascii="宋体" w:hAnsi="宋体" w:eastAsia="宋体"/>
          <w:b/>
          <w:color w:val="000000"/>
          <w:sz w:val="21"/>
          <w:szCs w:val="21"/>
        </w:rPr>
      </w:pPr>
      <w:r>
        <w:rPr>
          <w:rFonts w:hint="eastAsia" w:ascii="宋体" w:hAnsi="宋体" w:eastAsia="宋体"/>
          <w:b/>
          <w:color w:val="000000"/>
          <w:sz w:val="21"/>
          <w:szCs w:val="21"/>
        </w:rPr>
        <w:t>二、适时播种</w:t>
      </w:r>
    </w:p>
    <w:p>
      <w:pPr>
        <w:spacing w:line="240" w:lineRule="exact"/>
        <w:ind w:firstLine="420" w:firstLineChars="200"/>
        <w:rPr>
          <w:rFonts w:ascii="宋体"/>
          <w:sz w:val="21"/>
          <w:szCs w:val="21"/>
        </w:rPr>
      </w:pPr>
      <w:r>
        <w:rPr>
          <w:rFonts w:hint="eastAsia" w:hAnsi="宋体"/>
          <w:color w:val="000000"/>
          <w:sz w:val="21"/>
          <w:szCs w:val="21"/>
        </w:rPr>
        <w:t>选择抗性强、品质优、产量高、商品性及加工性好的大叶芥菜品种；</w:t>
      </w:r>
      <w:r>
        <w:rPr>
          <w:rFonts w:hint="eastAsia" w:ascii="宋体" w:hAnsi="宋体"/>
          <w:sz w:val="21"/>
          <w:szCs w:val="21"/>
        </w:rPr>
        <w:t>苗床选择地势平坦、排灌方便、土质疏松、肥沃的沙壤土或壤土并消毒处理；</w:t>
      </w:r>
      <w:r>
        <w:rPr>
          <w:rFonts w:hint="eastAsia" w:ascii="宋体" w:hAnsi="宋体"/>
          <w:color w:val="000000"/>
          <w:sz w:val="21"/>
          <w:szCs w:val="21"/>
        </w:rPr>
        <w:t>一般在</w:t>
      </w:r>
      <w:r>
        <w:rPr>
          <w:rFonts w:ascii="宋体" w:hAnsi="宋体"/>
          <w:color w:val="000000"/>
          <w:sz w:val="21"/>
          <w:szCs w:val="21"/>
        </w:rPr>
        <w:t>8</w:t>
      </w:r>
      <w:r>
        <w:rPr>
          <w:rFonts w:hint="eastAsia" w:ascii="宋体" w:hAnsi="宋体"/>
          <w:color w:val="000000"/>
          <w:sz w:val="21"/>
          <w:szCs w:val="21"/>
        </w:rPr>
        <w:t>月下旬到</w:t>
      </w:r>
      <w:r>
        <w:rPr>
          <w:color w:val="000000"/>
          <w:sz w:val="21"/>
          <w:szCs w:val="21"/>
        </w:rPr>
        <w:t>9</w:t>
      </w:r>
      <w:r>
        <w:rPr>
          <w:rFonts w:hint="eastAsia" w:ascii="宋体" w:hAnsi="宋体"/>
          <w:color w:val="000000"/>
          <w:sz w:val="21"/>
          <w:szCs w:val="21"/>
        </w:rPr>
        <w:t>月上中旬播种，</w:t>
      </w:r>
      <w:r>
        <w:rPr>
          <w:rFonts w:hint="eastAsia"/>
          <w:sz w:val="21"/>
          <w:szCs w:val="21"/>
        </w:rPr>
        <w:t>每亩用种量</w:t>
      </w:r>
      <w:r>
        <w:rPr>
          <w:sz w:val="21"/>
          <w:szCs w:val="21"/>
        </w:rPr>
        <w:t>30</w:t>
      </w:r>
      <w:r>
        <w:rPr>
          <w:rFonts w:hint="eastAsia"/>
          <w:sz w:val="21"/>
          <w:szCs w:val="21"/>
        </w:rPr>
        <w:t>－</w:t>
      </w:r>
      <w:r>
        <w:rPr>
          <w:sz w:val="21"/>
          <w:szCs w:val="21"/>
        </w:rPr>
        <w:t>50g</w:t>
      </w:r>
      <w:r>
        <w:rPr>
          <w:rFonts w:hint="eastAsia" w:hAnsi="宋体"/>
          <w:color w:val="000000"/>
          <w:sz w:val="21"/>
          <w:szCs w:val="21"/>
        </w:rPr>
        <w:t>；采用</w:t>
      </w:r>
      <w:r>
        <w:rPr>
          <w:rFonts w:hint="eastAsia"/>
          <w:color w:val="000000"/>
          <w:sz w:val="21"/>
          <w:szCs w:val="21"/>
        </w:rPr>
        <w:t>干籽直播，播种前浇足底水，按</w:t>
      </w:r>
      <w:r>
        <w:rPr>
          <w:color w:val="000000"/>
          <w:sz w:val="21"/>
          <w:szCs w:val="21"/>
        </w:rPr>
        <w:t>1</w:t>
      </w:r>
      <w:r>
        <w:rPr>
          <w:rFonts w:hint="eastAsia"/>
          <w:color w:val="000000"/>
          <w:sz w:val="21"/>
          <w:szCs w:val="21"/>
        </w:rPr>
        <w:t>：</w:t>
      </w:r>
      <w:r>
        <w:rPr>
          <w:color w:val="000000"/>
          <w:sz w:val="21"/>
          <w:szCs w:val="21"/>
        </w:rPr>
        <w:t>10</w:t>
      </w:r>
      <w:r>
        <w:rPr>
          <w:rFonts w:hint="eastAsia"/>
          <w:color w:val="000000"/>
          <w:sz w:val="21"/>
          <w:szCs w:val="21"/>
        </w:rPr>
        <w:t>比例备足苗床，播种后用遮阳网覆盖。</w:t>
      </w:r>
    </w:p>
    <w:p>
      <w:pPr>
        <w:spacing w:line="240" w:lineRule="exact"/>
        <w:rPr>
          <w:b/>
          <w:bCs/>
          <w:sz w:val="21"/>
          <w:szCs w:val="21"/>
        </w:rPr>
      </w:pPr>
      <w:r>
        <w:rPr>
          <w:rFonts w:hint="eastAsia"/>
          <w:b/>
          <w:bCs/>
          <w:sz w:val="21"/>
          <w:szCs w:val="21"/>
        </w:rPr>
        <w:t>三、培育壮苗</w:t>
      </w:r>
      <w:r>
        <w:rPr>
          <w:b/>
          <w:bCs/>
          <w:sz w:val="21"/>
          <w:szCs w:val="21"/>
        </w:rPr>
        <w:t xml:space="preserve"> </w:t>
      </w:r>
    </w:p>
    <w:p>
      <w:pPr>
        <w:spacing w:line="240" w:lineRule="exact"/>
        <w:ind w:firstLine="420" w:firstLineChars="200"/>
        <w:rPr>
          <w:sz w:val="21"/>
          <w:szCs w:val="21"/>
        </w:rPr>
      </w:pPr>
      <w:r>
        <w:rPr>
          <w:rFonts w:hint="eastAsia"/>
          <w:sz w:val="21"/>
          <w:szCs w:val="21"/>
        </w:rPr>
        <w:t>苗期一般不施肥，若生长不良，可叶面加喷</w:t>
      </w:r>
      <w:r>
        <w:rPr>
          <w:sz w:val="21"/>
          <w:szCs w:val="21"/>
        </w:rPr>
        <w:t>1</w:t>
      </w:r>
      <w:r>
        <w:rPr>
          <w:rFonts w:hint="eastAsia"/>
          <w:sz w:val="21"/>
          <w:szCs w:val="21"/>
        </w:rPr>
        <w:t>次</w:t>
      </w:r>
      <w:r>
        <w:rPr>
          <w:sz w:val="21"/>
          <w:szCs w:val="21"/>
        </w:rPr>
        <w:t>0. 25%</w:t>
      </w:r>
      <w:r>
        <w:rPr>
          <w:rFonts w:hint="eastAsia"/>
          <w:sz w:val="21"/>
          <w:szCs w:val="21"/>
        </w:rPr>
        <w:t>磷酸二氢钾溶液；育苗期床土不干不浇水，浇水宜浇小水或喷雾水，</w:t>
      </w:r>
      <w:r>
        <w:rPr>
          <w:rFonts w:hint="eastAsia"/>
          <w:color w:val="000000"/>
          <w:sz w:val="21"/>
          <w:szCs w:val="21"/>
        </w:rPr>
        <w:t>保持苗床湿润，以利出苗；</w:t>
      </w:r>
      <w:r>
        <w:rPr>
          <w:rFonts w:hint="eastAsia"/>
          <w:sz w:val="21"/>
          <w:szCs w:val="21"/>
        </w:rPr>
        <w:t>出苗后及时间苗，于</w:t>
      </w:r>
      <w:r>
        <w:rPr>
          <w:sz w:val="21"/>
          <w:szCs w:val="21"/>
        </w:rPr>
        <w:t>2</w:t>
      </w:r>
      <w:r>
        <w:rPr>
          <w:rFonts w:hint="eastAsia"/>
          <w:sz w:val="21"/>
          <w:szCs w:val="21"/>
        </w:rPr>
        <w:t>叶</w:t>
      </w:r>
      <w:r>
        <w:rPr>
          <w:sz w:val="21"/>
          <w:szCs w:val="21"/>
        </w:rPr>
        <w:t>1</w:t>
      </w:r>
      <w:r>
        <w:rPr>
          <w:rFonts w:hint="eastAsia"/>
          <w:sz w:val="21"/>
          <w:szCs w:val="21"/>
        </w:rPr>
        <w:t>心期、</w:t>
      </w:r>
      <w:r>
        <w:rPr>
          <w:sz w:val="21"/>
          <w:szCs w:val="21"/>
        </w:rPr>
        <w:t>3</w:t>
      </w:r>
      <w:r>
        <w:rPr>
          <w:rFonts w:hint="eastAsia"/>
          <w:sz w:val="21"/>
          <w:szCs w:val="21"/>
        </w:rPr>
        <w:t>叶</w:t>
      </w:r>
      <w:r>
        <w:rPr>
          <w:sz w:val="21"/>
          <w:szCs w:val="21"/>
        </w:rPr>
        <w:t>1</w:t>
      </w:r>
      <w:r>
        <w:rPr>
          <w:rFonts w:hint="eastAsia"/>
          <w:sz w:val="21"/>
          <w:szCs w:val="21"/>
        </w:rPr>
        <w:t>心期各间苗</w:t>
      </w:r>
      <w:r>
        <w:rPr>
          <w:sz w:val="21"/>
          <w:szCs w:val="21"/>
        </w:rPr>
        <w:t>1</w:t>
      </w:r>
      <w:r>
        <w:rPr>
          <w:rFonts w:hint="eastAsia"/>
          <w:sz w:val="21"/>
          <w:szCs w:val="21"/>
        </w:rPr>
        <w:t>次，去掉病苗、弱苗、杂苗、拥挤苗；苗龄以</w:t>
      </w:r>
      <w:r>
        <w:rPr>
          <w:sz w:val="21"/>
          <w:szCs w:val="21"/>
        </w:rPr>
        <w:t>4</w:t>
      </w:r>
      <w:r>
        <w:rPr>
          <w:rFonts w:hint="eastAsia"/>
          <w:sz w:val="21"/>
          <w:szCs w:val="21"/>
        </w:rPr>
        <w:t>叶</w:t>
      </w:r>
      <w:r>
        <w:rPr>
          <w:sz w:val="21"/>
          <w:szCs w:val="21"/>
        </w:rPr>
        <w:t>1</w:t>
      </w:r>
      <w:r>
        <w:rPr>
          <w:rFonts w:hint="eastAsia"/>
          <w:sz w:val="21"/>
          <w:szCs w:val="21"/>
        </w:rPr>
        <w:t>心</w:t>
      </w:r>
      <w:r>
        <w:rPr>
          <w:sz w:val="21"/>
          <w:szCs w:val="21"/>
        </w:rPr>
        <w:t>--5</w:t>
      </w:r>
      <w:r>
        <w:rPr>
          <w:rFonts w:hint="eastAsia"/>
          <w:sz w:val="21"/>
          <w:szCs w:val="21"/>
        </w:rPr>
        <w:t>叶</w:t>
      </w:r>
      <w:r>
        <w:rPr>
          <w:sz w:val="21"/>
          <w:szCs w:val="21"/>
        </w:rPr>
        <w:t>1</w:t>
      </w:r>
      <w:r>
        <w:rPr>
          <w:rFonts w:hint="eastAsia"/>
          <w:sz w:val="21"/>
          <w:szCs w:val="21"/>
        </w:rPr>
        <w:t>心为宜，定植前，达到植株健壮、根系发达、叶片绿色肥厚、无病虫害的标准。</w:t>
      </w:r>
    </w:p>
    <w:p>
      <w:pPr>
        <w:spacing w:line="240" w:lineRule="exact"/>
        <w:rPr>
          <w:b/>
          <w:bCs/>
          <w:sz w:val="21"/>
          <w:szCs w:val="21"/>
        </w:rPr>
      </w:pPr>
      <w:r>
        <w:rPr>
          <w:rFonts w:hint="eastAsia"/>
          <w:b/>
          <w:bCs/>
          <w:sz w:val="21"/>
          <w:szCs w:val="21"/>
        </w:rPr>
        <w:t>四、及时定植</w:t>
      </w:r>
    </w:p>
    <w:p>
      <w:pPr>
        <w:spacing w:line="240" w:lineRule="exact"/>
        <w:ind w:firstLine="420" w:firstLineChars="200"/>
        <w:rPr>
          <w:b/>
          <w:bCs/>
          <w:sz w:val="21"/>
          <w:szCs w:val="21"/>
        </w:rPr>
      </w:pPr>
      <w:r>
        <w:rPr>
          <w:rFonts w:hint="eastAsia" w:ascii="宋体" w:hAnsi="宋体"/>
          <w:bCs/>
          <w:sz w:val="21"/>
          <w:szCs w:val="21"/>
        </w:rPr>
        <w:t>在芥菜移栽前</w:t>
      </w:r>
      <w:r>
        <w:rPr>
          <w:bCs/>
          <w:sz w:val="21"/>
          <w:szCs w:val="21"/>
        </w:rPr>
        <w:t>7</w:t>
      </w:r>
      <w:r>
        <w:rPr>
          <w:rFonts w:hint="eastAsia"/>
          <w:color w:val="000000"/>
          <w:sz w:val="21"/>
          <w:szCs w:val="21"/>
        </w:rPr>
        <w:t>～</w:t>
      </w:r>
      <w:r>
        <w:rPr>
          <w:bCs/>
          <w:sz w:val="21"/>
          <w:szCs w:val="21"/>
        </w:rPr>
        <w:t>15</w:t>
      </w:r>
      <w:r>
        <w:rPr>
          <w:rFonts w:hint="eastAsia" w:ascii="宋体" w:hAnsi="宋体"/>
          <w:bCs/>
          <w:sz w:val="21"/>
          <w:szCs w:val="21"/>
        </w:rPr>
        <w:t>天对大田进行翻耕，并开好“三沟”，一般厢宽（包沟）</w:t>
      </w:r>
      <w:r>
        <w:rPr>
          <w:rFonts w:ascii="宋体" w:hAnsi="宋体"/>
          <w:bCs/>
          <w:sz w:val="21"/>
          <w:szCs w:val="21"/>
        </w:rPr>
        <w:t>2</w:t>
      </w:r>
      <w:r>
        <w:rPr>
          <w:rFonts w:ascii="宋体"/>
          <w:bCs/>
          <w:sz w:val="21"/>
          <w:szCs w:val="21"/>
        </w:rPr>
        <w:t>.0</w:t>
      </w:r>
      <w:r>
        <w:rPr>
          <w:rFonts w:hint="eastAsia" w:ascii="宋体" w:hAnsi="宋体"/>
          <w:bCs/>
          <w:sz w:val="21"/>
          <w:szCs w:val="21"/>
        </w:rPr>
        <w:t>－</w:t>
      </w:r>
      <w:r>
        <w:rPr>
          <w:rFonts w:ascii="宋体" w:hAnsi="宋体"/>
          <w:bCs/>
          <w:sz w:val="21"/>
          <w:szCs w:val="21"/>
        </w:rPr>
        <w:t>2.5</w:t>
      </w:r>
      <w:r>
        <w:rPr>
          <w:rFonts w:hint="eastAsia" w:ascii="宋体" w:hAnsi="宋体"/>
          <w:bCs/>
          <w:sz w:val="21"/>
          <w:szCs w:val="21"/>
        </w:rPr>
        <w:t>米。结合整厢，每亩施用腐熟农家肥</w:t>
      </w:r>
      <w:r>
        <w:rPr>
          <w:rFonts w:ascii="宋体" w:hAnsi="宋体"/>
          <w:bCs/>
          <w:sz w:val="21"/>
          <w:szCs w:val="21"/>
        </w:rPr>
        <w:t>10</w:t>
      </w:r>
      <w:r>
        <w:rPr>
          <w:rFonts w:ascii="宋体"/>
          <w:bCs/>
          <w:sz w:val="21"/>
          <w:szCs w:val="21"/>
        </w:rPr>
        <w:t>00</w:t>
      </w:r>
      <w:r>
        <w:rPr>
          <w:rFonts w:hint="eastAsia" w:ascii="宋体" w:hAnsi="宋体"/>
          <w:bCs/>
          <w:sz w:val="21"/>
          <w:szCs w:val="21"/>
        </w:rPr>
        <w:t>千克、优质复合肥</w:t>
      </w:r>
      <w:r>
        <w:rPr>
          <w:bCs/>
          <w:sz w:val="21"/>
          <w:szCs w:val="21"/>
        </w:rPr>
        <w:t>50kg</w:t>
      </w:r>
      <w:r>
        <w:rPr>
          <w:rFonts w:hint="eastAsia" w:ascii="宋体" w:hAnsi="宋体"/>
          <w:bCs/>
          <w:sz w:val="21"/>
          <w:szCs w:val="21"/>
        </w:rPr>
        <w:t>。</w:t>
      </w:r>
      <w:r>
        <w:rPr>
          <w:rFonts w:hint="eastAsia"/>
          <w:sz w:val="21"/>
          <w:szCs w:val="21"/>
        </w:rPr>
        <w:t>一般在</w:t>
      </w:r>
      <w:r>
        <w:rPr>
          <w:sz w:val="21"/>
          <w:szCs w:val="21"/>
        </w:rPr>
        <w:t>9</w:t>
      </w:r>
      <w:r>
        <w:rPr>
          <w:rFonts w:hint="eastAsia"/>
          <w:sz w:val="21"/>
          <w:szCs w:val="21"/>
        </w:rPr>
        <w:t>月下旬</w:t>
      </w:r>
      <w:r>
        <w:rPr>
          <w:sz w:val="21"/>
          <w:szCs w:val="21"/>
        </w:rPr>
        <w:t>--10</w:t>
      </w:r>
      <w:r>
        <w:rPr>
          <w:rFonts w:hint="eastAsia"/>
          <w:sz w:val="21"/>
          <w:szCs w:val="21"/>
        </w:rPr>
        <w:t>月上中旬，当幼苗长至</w:t>
      </w:r>
      <w:r>
        <w:rPr>
          <w:sz w:val="21"/>
          <w:szCs w:val="21"/>
        </w:rPr>
        <w:t>4</w:t>
      </w:r>
      <w:r>
        <w:rPr>
          <w:rFonts w:hint="eastAsia"/>
          <w:color w:val="000000"/>
          <w:sz w:val="21"/>
          <w:szCs w:val="21"/>
        </w:rPr>
        <w:t>～</w:t>
      </w:r>
      <w:r>
        <w:rPr>
          <w:sz w:val="21"/>
          <w:szCs w:val="21"/>
        </w:rPr>
        <w:t>5</w:t>
      </w:r>
      <w:r>
        <w:rPr>
          <w:rFonts w:hint="eastAsia"/>
          <w:sz w:val="21"/>
          <w:szCs w:val="21"/>
        </w:rPr>
        <w:t>片真叶时，</w:t>
      </w:r>
      <w:r>
        <w:rPr>
          <w:rFonts w:hint="eastAsia" w:ascii="宋体" w:hAnsi="宋体"/>
          <w:sz w:val="21"/>
          <w:szCs w:val="21"/>
        </w:rPr>
        <w:t>选择晴天下午带土移栽，按每亩</w:t>
      </w:r>
      <w:r>
        <w:rPr>
          <w:rFonts w:ascii="宋体" w:hAnsi="宋体"/>
          <w:sz w:val="21"/>
          <w:szCs w:val="21"/>
        </w:rPr>
        <w:t>3500-4500</w:t>
      </w:r>
      <w:r>
        <w:rPr>
          <w:rFonts w:hint="eastAsia" w:ascii="宋体" w:hAnsi="宋体"/>
          <w:sz w:val="21"/>
          <w:szCs w:val="21"/>
        </w:rPr>
        <w:t>株的密度</w:t>
      </w:r>
      <w:r>
        <w:rPr>
          <w:rFonts w:hint="eastAsia"/>
          <w:sz w:val="21"/>
          <w:szCs w:val="21"/>
        </w:rPr>
        <w:t>及时定植</w:t>
      </w:r>
      <w:r>
        <w:rPr>
          <w:rFonts w:hint="eastAsia" w:ascii="宋体" w:hAnsi="宋体"/>
          <w:sz w:val="21"/>
          <w:szCs w:val="21"/>
        </w:rPr>
        <w:t>。</w:t>
      </w:r>
    </w:p>
    <w:p>
      <w:pPr>
        <w:spacing w:line="240" w:lineRule="exact"/>
        <w:rPr>
          <w:b/>
          <w:bCs/>
          <w:sz w:val="21"/>
          <w:szCs w:val="21"/>
        </w:rPr>
      </w:pPr>
      <w:r>
        <w:rPr>
          <w:rFonts w:hint="eastAsia"/>
          <w:b/>
          <w:bCs/>
          <w:sz w:val="21"/>
          <w:szCs w:val="21"/>
        </w:rPr>
        <w:t>五、田间管理</w:t>
      </w:r>
    </w:p>
    <w:p>
      <w:pPr>
        <w:spacing w:line="240" w:lineRule="exact"/>
        <w:ind w:firstLine="420" w:firstLineChars="200"/>
        <w:rPr>
          <w:rFonts w:hint="eastAsia" w:ascii="宋体" w:hAnsi="宋体" w:cs="Tahoma"/>
          <w:color w:val="000000"/>
          <w:sz w:val="21"/>
          <w:szCs w:val="21"/>
        </w:rPr>
      </w:pPr>
      <w:r>
        <w:rPr>
          <w:rFonts w:hint="eastAsia" w:hAnsi="宋体"/>
          <w:color w:val="000000"/>
          <w:sz w:val="21"/>
          <w:szCs w:val="21"/>
        </w:rPr>
        <w:t>定植后，注意查苗补苗，拨除弱苗病苗；</w:t>
      </w:r>
      <w:r>
        <w:rPr>
          <w:rFonts w:hint="eastAsia"/>
          <w:color w:val="000000"/>
          <w:sz w:val="21"/>
          <w:szCs w:val="21"/>
        </w:rPr>
        <w:t>缓苗后，及时中耕除草；</w:t>
      </w:r>
      <w:r>
        <w:rPr>
          <w:rFonts w:hint="eastAsia" w:hAnsi="宋体"/>
          <w:color w:val="000000"/>
          <w:sz w:val="21"/>
          <w:szCs w:val="21"/>
        </w:rPr>
        <w:t>及时清沟沥水，防止田间积水，保持田间土壤通透性；</w:t>
      </w:r>
      <w:r>
        <w:rPr>
          <w:rFonts w:hint="eastAsia" w:ascii="宋体" w:hAnsi="宋体" w:cs="Tahoma"/>
          <w:color w:val="000000"/>
          <w:sz w:val="21"/>
          <w:szCs w:val="21"/>
        </w:rPr>
        <w:t>生长期内可追肥</w:t>
      </w:r>
      <w:r>
        <w:rPr>
          <w:color w:val="000000"/>
          <w:sz w:val="21"/>
          <w:szCs w:val="21"/>
        </w:rPr>
        <w:t>2</w:t>
      </w:r>
      <w:r>
        <w:rPr>
          <w:rFonts w:hint="eastAsia" w:hAnsi="宋体"/>
          <w:color w:val="000000"/>
          <w:sz w:val="21"/>
          <w:szCs w:val="21"/>
        </w:rPr>
        <w:t>～</w:t>
      </w:r>
      <w:r>
        <w:rPr>
          <w:color w:val="000000"/>
          <w:sz w:val="21"/>
          <w:szCs w:val="21"/>
        </w:rPr>
        <w:t>3</w:t>
      </w:r>
      <w:r>
        <w:rPr>
          <w:rFonts w:hint="eastAsia" w:ascii="宋体" w:hAnsi="宋体" w:cs="Tahoma"/>
          <w:color w:val="000000"/>
          <w:sz w:val="21"/>
          <w:szCs w:val="21"/>
        </w:rPr>
        <w:t>次，每亩追施尿素</w:t>
      </w:r>
      <w:r>
        <w:rPr>
          <w:color w:val="000000"/>
          <w:sz w:val="21"/>
          <w:szCs w:val="21"/>
        </w:rPr>
        <w:t>5</w:t>
      </w:r>
      <w:r>
        <w:rPr>
          <w:rFonts w:hint="eastAsia" w:hAnsi="宋体"/>
          <w:color w:val="000000"/>
          <w:sz w:val="21"/>
          <w:szCs w:val="21"/>
        </w:rPr>
        <w:t>～</w:t>
      </w:r>
      <w:r>
        <w:rPr>
          <w:color w:val="000000"/>
          <w:sz w:val="21"/>
          <w:szCs w:val="21"/>
        </w:rPr>
        <w:t>10kg</w:t>
      </w:r>
      <w:r>
        <w:rPr>
          <w:rFonts w:hint="eastAsia" w:ascii="宋体" w:hAnsi="宋体" w:cs="Tahoma"/>
          <w:color w:val="000000"/>
          <w:sz w:val="21"/>
          <w:szCs w:val="21"/>
        </w:rPr>
        <w:t>。开春以后，可多施氮肥，每亩追施尿素</w:t>
      </w:r>
      <w:r>
        <w:rPr>
          <w:color w:val="000000"/>
          <w:sz w:val="21"/>
          <w:szCs w:val="21"/>
        </w:rPr>
        <w:t>10</w:t>
      </w:r>
      <w:r>
        <w:rPr>
          <w:rFonts w:hint="eastAsia" w:hAnsi="宋体"/>
          <w:color w:val="000000"/>
          <w:sz w:val="21"/>
          <w:szCs w:val="21"/>
        </w:rPr>
        <w:t>～</w:t>
      </w:r>
      <w:r>
        <w:rPr>
          <w:color w:val="000000"/>
          <w:sz w:val="21"/>
          <w:szCs w:val="21"/>
        </w:rPr>
        <w:t>15kg</w:t>
      </w:r>
      <w:r>
        <w:rPr>
          <w:rFonts w:hint="eastAsia"/>
          <w:color w:val="000000"/>
          <w:sz w:val="21"/>
          <w:szCs w:val="21"/>
        </w:rPr>
        <w:t>，</w:t>
      </w:r>
      <w:r>
        <w:rPr>
          <w:rFonts w:hint="eastAsia" w:ascii="宋体" w:hAnsi="宋体" w:cs="Tahoma"/>
          <w:color w:val="000000"/>
          <w:sz w:val="21"/>
          <w:szCs w:val="21"/>
        </w:rPr>
        <w:t>促使叶片生长，提高品质。加工用的芥菜在采收前</w:t>
      </w:r>
      <w:r>
        <w:rPr>
          <w:color w:val="000000"/>
          <w:sz w:val="21"/>
          <w:szCs w:val="21"/>
        </w:rPr>
        <w:t>15</w:t>
      </w:r>
      <w:r>
        <w:rPr>
          <w:rFonts w:hint="eastAsia" w:ascii="宋体" w:hAnsi="宋体" w:cs="Tahoma"/>
          <w:color w:val="000000"/>
          <w:sz w:val="21"/>
          <w:szCs w:val="21"/>
        </w:rPr>
        <w:t>天停止灌溉和施肥，以免影响加工品质。</w:t>
      </w:r>
    </w:p>
    <w:p>
      <w:pPr>
        <w:spacing w:line="240" w:lineRule="exact"/>
        <w:ind w:firstLine="420" w:firstLineChars="200"/>
        <w:rPr>
          <w:rFonts w:hint="eastAsia" w:ascii="宋体" w:hAnsi="宋体" w:cs="Tahoma"/>
          <w:color w:val="000000"/>
          <w:sz w:val="21"/>
          <w:szCs w:val="21"/>
        </w:rPr>
      </w:pPr>
    </w:p>
    <w:p>
      <w:pPr>
        <w:spacing w:line="240" w:lineRule="exact"/>
        <w:rPr>
          <w:b/>
          <w:bCs/>
          <w:sz w:val="21"/>
          <w:szCs w:val="21"/>
        </w:rPr>
      </w:pPr>
      <w:r>
        <w:rPr>
          <w:rFonts w:hint="eastAsia"/>
          <w:b/>
          <w:bCs/>
          <w:sz w:val="21"/>
          <w:szCs w:val="21"/>
        </w:rPr>
        <w:t>六、病虫害绿色防控</w:t>
      </w:r>
    </w:p>
    <w:p>
      <w:pPr>
        <w:autoSpaceDE w:val="0"/>
        <w:autoSpaceDN w:val="0"/>
        <w:adjustRightInd w:val="0"/>
        <w:spacing w:line="240" w:lineRule="exact"/>
        <w:ind w:firstLine="420" w:firstLineChars="200"/>
        <w:rPr>
          <w:rFonts w:hAnsi="宋体"/>
          <w:color w:val="000000"/>
          <w:sz w:val="21"/>
          <w:szCs w:val="21"/>
        </w:rPr>
      </w:pPr>
      <w:r>
        <w:rPr>
          <w:rFonts w:hint="eastAsia" w:hAnsi="宋体"/>
          <w:color w:val="000000"/>
          <w:sz w:val="21"/>
          <w:szCs w:val="21"/>
        </w:rPr>
        <w:t>与非十字花科作物轮作，有条件的地区应实行水旱轮作；加强田间管理，中耕松土，合理灌溉，清洁田园，改善田间环境，减轻病虫发生与危害；增施有机肥，推广测土配方施肥，减少化肥用量。</w:t>
      </w:r>
    </w:p>
    <w:p>
      <w:pPr>
        <w:autoSpaceDE w:val="0"/>
        <w:autoSpaceDN w:val="0"/>
        <w:adjustRightInd w:val="0"/>
        <w:spacing w:line="240" w:lineRule="exact"/>
        <w:ind w:firstLine="420" w:firstLineChars="200"/>
        <w:rPr>
          <w:rFonts w:hAnsi="宋体"/>
          <w:color w:val="000000"/>
          <w:sz w:val="21"/>
          <w:szCs w:val="21"/>
        </w:rPr>
      </w:pPr>
      <w:r>
        <w:rPr>
          <w:rFonts w:hint="eastAsia" w:hAnsi="宋体"/>
          <w:color w:val="000000"/>
          <w:sz w:val="21"/>
          <w:szCs w:val="21"/>
        </w:rPr>
        <w:t>苗期重点防治黄曲条跳甲、猿叶虫、甜菜夜蛾、斜纹夜蛾、蚜虫。中后期重点防治霜霉病、软腐病、病毒病等。</w:t>
      </w:r>
    </w:p>
    <w:p>
      <w:pPr>
        <w:spacing w:line="240" w:lineRule="exact"/>
        <w:rPr>
          <w:b/>
          <w:bCs/>
          <w:sz w:val="21"/>
          <w:szCs w:val="21"/>
        </w:rPr>
      </w:pPr>
      <w:r>
        <w:rPr>
          <w:rFonts w:hint="eastAsia"/>
          <w:b/>
          <w:bCs/>
          <w:sz w:val="21"/>
          <w:szCs w:val="21"/>
        </w:rPr>
        <w:t>七、适时收获</w:t>
      </w:r>
    </w:p>
    <w:p>
      <w:pPr>
        <w:spacing w:line="240" w:lineRule="exact"/>
        <w:ind w:firstLine="420" w:firstLineChars="200"/>
        <w:rPr>
          <w:rFonts w:ascii="宋体"/>
          <w:color w:val="000000"/>
          <w:sz w:val="21"/>
          <w:szCs w:val="21"/>
        </w:rPr>
      </w:pPr>
      <w:r>
        <w:rPr>
          <w:rFonts w:hint="eastAsia" w:ascii="宋体" w:hAnsi="宋体"/>
          <w:color w:val="000000"/>
          <w:sz w:val="21"/>
          <w:szCs w:val="21"/>
        </w:rPr>
        <w:t>以鲜食为主的大叶芥菜栽培无严格的采收标准，主要根据市场需求可小苗采收或半成株采收鲜嫩产品上市；用于加工的要等外叶发黄，刚出现抽薹迹象时采收，此时采收产量高，加工品质好。华容芥菜一般在</w:t>
      </w:r>
      <w:r>
        <w:rPr>
          <w:color w:val="000000"/>
          <w:sz w:val="21"/>
          <w:szCs w:val="21"/>
        </w:rPr>
        <w:t>2</w:t>
      </w:r>
      <w:r>
        <w:rPr>
          <w:rFonts w:hint="eastAsia"/>
          <w:color w:val="000000"/>
          <w:sz w:val="21"/>
          <w:szCs w:val="21"/>
        </w:rPr>
        <w:t>月下旬～</w:t>
      </w:r>
      <w:r>
        <w:rPr>
          <w:color w:val="000000"/>
          <w:sz w:val="21"/>
          <w:szCs w:val="21"/>
        </w:rPr>
        <w:t>3</w:t>
      </w:r>
      <w:r>
        <w:rPr>
          <w:rFonts w:hint="eastAsia" w:ascii="宋体" w:hAnsi="宋体"/>
          <w:color w:val="000000"/>
          <w:sz w:val="21"/>
          <w:szCs w:val="21"/>
        </w:rPr>
        <w:t>月中旬采收，采收方式多为一次性采收，选择晴朗的天气用刀单株收割。</w:t>
      </w:r>
    </w:p>
    <w:p>
      <w:pPr>
        <w:spacing w:line="240" w:lineRule="exact"/>
        <w:ind w:firstLine="420" w:firstLineChars="200"/>
        <w:rPr>
          <w:rFonts w:hint="eastAsia" w:ascii="宋体" w:hAnsi="宋体"/>
          <w:color w:val="000000"/>
          <w:sz w:val="21"/>
          <w:szCs w:val="21"/>
        </w:rPr>
      </w:pPr>
      <w:r>
        <w:rPr>
          <w:rFonts w:hint="eastAsia" w:ascii="宋体" w:hAnsi="宋体"/>
          <w:color w:val="000000"/>
          <w:sz w:val="21"/>
          <w:szCs w:val="21"/>
        </w:rPr>
        <w:t>采后在</w:t>
      </w:r>
      <w:r>
        <w:rPr>
          <w:sz w:val="21"/>
          <w:szCs w:val="21"/>
        </w:rPr>
        <w:fldChar w:fldCharType="begin"/>
      </w:r>
      <w:r>
        <w:rPr>
          <w:sz w:val="21"/>
          <w:szCs w:val="21"/>
        </w:rPr>
        <w:instrText xml:space="preserve"> HYPERLINK "http://shop.bytravel.cn/produce/index975.html" \t "_blank" </w:instrText>
      </w:r>
      <w:r>
        <w:rPr>
          <w:sz w:val="21"/>
          <w:szCs w:val="21"/>
        </w:rPr>
        <w:fldChar w:fldCharType="separate"/>
      </w:r>
      <w:r>
        <w:rPr>
          <w:rFonts w:hint="eastAsia" w:ascii="宋体" w:hAnsi="宋体"/>
          <w:color w:val="000000"/>
          <w:sz w:val="21"/>
          <w:szCs w:val="21"/>
        </w:rPr>
        <w:t>大田</w:t>
      </w:r>
      <w:r>
        <w:rPr>
          <w:rFonts w:hint="eastAsia" w:ascii="宋体" w:hAnsi="宋体"/>
          <w:color w:val="000000"/>
          <w:sz w:val="21"/>
          <w:szCs w:val="21"/>
        </w:rPr>
        <w:fldChar w:fldCharType="end"/>
      </w:r>
      <w:r>
        <w:rPr>
          <w:rFonts w:hint="eastAsia" w:ascii="宋体" w:hAnsi="宋体"/>
          <w:color w:val="000000"/>
          <w:sz w:val="21"/>
          <w:szCs w:val="21"/>
        </w:rPr>
        <w:t>晾晒</w:t>
      </w:r>
      <w:r>
        <w:rPr>
          <w:rFonts w:ascii="宋体" w:hAnsi="宋体"/>
          <w:color w:val="000000"/>
          <w:sz w:val="21"/>
          <w:szCs w:val="21"/>
        </w:rPr>
        <w:t>1</w:t>
      </w:r>
      <w:r>
        <w:rPr>
          <w:rFonts w:hint="eastAsia" w:ascii="宋体" w:hAnsi="宋体"/>
          <w:color w:val="000000"/>
          <w:sz w:val="21"/>
          <w:szCs w:val="21"/>
        </w:rPr>
        <w:t>～</w:t>
      </w:r>
      <w:r>
        <w:rPr>
          <w:rFonts w:ascii="宋体" w:hAnsi="宋体"/>
          <w:color w:val="000000"/>
          <w:sz w:val="21"/>
          <w:szCs w:val="21"/>
        </w:rPr>
        <w:t>2</w:t>
      </w:r>
      <w:r>
        <w:rPr>
          <w:rFonts w:hint="eastAsia" w:ascii="宋体" w:hAnsi="宋体"/>
          <w:color w:val="000000"/>
          <w:sz w:val="21"/>
          <w:szCs w:val="21"/>
        </w:rPr>
        <w:t>天，使叶、柄变柔软，不易断折，剔除黄叶、烂叶及病虫害叶（柄），削除根蔸，清除泥沙、树叶、杂草，顺放码好，做好鲜销或土窖加工准备</w:t>
      </w:r>
    </w:p>
    <w:p>
      <w:pPr>
        <w:spacing w:line="240" w:lineRule="exact"/>
        <w:ind w:firstLine="420" w:firstLineChars="200"/>
        <w:rPr>
          <w:rFonts w:hint="eastAsia" w:ascii="宋体" w:hAnsi="宋体"/>
          <w:color w:val="000000"/>
          <w:sz w:val="21"/>
          <w:szCs w:val="21"/>
        </w:rPr>
      </w:pPr>
    </w:p>
    <w:p>
      <w:pPr>
        <w:spacing w:line="240" w:lineRule="exact"/>
        <w:rPr>
          <w:rFonts w:hint="eastAsia" w:ascii="宋体" w:hAnsi="宋体"/>
          <w:color w:val="000000"/>
          <w:sz w:val="21"/>
          <w:szCs w:val="21"/>
        </w:rPr>
      </w:pPr>
    </w:p>
    <w:p>
      <w:pPr>
        <w:spacing w:line="240" w:lineRule="exact"/>
        <w:ind w:firstLine="420" w:firstLineChars="200"/>
        <w:rPr>
          <w:rFonts w:hint="eastAsia" w:ascii="宋体" w:hAnsi="宋体"/>
          <w:color w:val="000000"/>
          <w:sz w:val="21"/>
          <w:szCs w:val="21"/>
        </w:rPr>
      </w:pPr>
    </w:p>
    <w:p>
      <w:pPr>
        <w:spacing w:line="240" w:lineRule="exact"/>
        <w:rPr>
          <w:rFonts w:hint="eastAsia" w:ascii="宋体" w:hAnsi="宋体"/>
          <w:color w:val="000000"/>
          <w:sz w:val="21"/>
          <w:szCs w:val="21"/>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56192" behindDoc="1" locked="0" layoutInCell="1" allowOverlap="1">
            <wp:simplePos x="0" y="0"/>
            <wp:positionH relativeFrom="column">
              <wp:posOffset>-798195</wp:posOffset>
            </wp:positionH>
            <wp:positionV relativeFrom="paragraph">
              <wp:posOffset>-48260</wp:posOffset>
            </wp:positionV>
            <wp:extent cx="6927850" cy="3305810"/>
            <wp:effectExtent l="0" t="0" r="6350" b="8890"/>
            <wp:wrapNone/>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4"/>
                    <a:stretch>
                      <a:fillRect/>
                    </a:stretch>
                  </pic:blipFill>
                  <pic:spPr>
                    <a:xfrm>
                      <a:off x="0" y="0"/>
                      <a:ext cx="6927850" cy="330581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51072" behindDoc="1" locked="0" layoutInCell="1" allowOverlap="1">
            <wp:simplePos x="0" y="0"/>
            <wp:positionH relativeFrom="column">
              <wp:posOffset>4088130</wp:posOffset>
            </wp:positionH>
            <wp:positionV relativeFrom="paragraph">
              <wp:posOffset>175895</wp:posOffset>
            </wp:positionV>
            <wp:extent cx="1943100" cy="1238250"/>
            <wp:effectExtent l="0" t="0" r="0" b="0"/>
            <wp:wrapNone/>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5"/>
                    <a:stretch>
                      <a:fillRect/>
                    </a:stretch>
                  </pic:blipFill>
                  <pic:spPr>
                    <a:xfrm>
                      <a:off x="0" y="0"/>
                      <a:ext cx="1943100" cy="1238250"/>
                    </a:xfrm>
                    <a:prstGeom prst="rect">
                      <a:avLst/>
                    </a:prstGeom>
                    <a:noFill/>
                    <a:ln w="9525">
                      <a:noFill/>
                    </a:ln>
                  </pic:spPr>
                </pic:pic>
              </a:graphicData>
            </a:graphic>
          </wp:anchor>
        </w:drawing>
      </w:r>
      <w:r>
        <w:drawing>
          <wp:anchor distT="0" distB="0" distL="114300" distR="114300" simplePos="0" relativeHeight="251655168" behindDoc="1" locked="0" layoutInCell="1" allowOverlap="1">
            <wp:simplePos x="0" y="0"/>
            <wp:positionH relativeFrom="column">
              <wp:posOffset>1259205</wp:posOffset>
            </wp:positionH>
            <wp:positionV relativeFrom="paragraph">
              <wp:posOffset>166370</wp:posOffset>
            </wp:positionV>
            <wp:extent cx="885825" cy="1247775"/>
            <wp:effectExtent l="0" t="0" r="9525" b="9525"/>
            <wp:wrapNone/>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16"/>
                    <a:srcRect r="10426"/>
                    <a:stretch>
                      <a:fillRect/>
                    </a:stretch>
                  </pic:blipFill>
                  <pic:spPr>
                    <a:xfrm>
                      <a:off x="0" y="0"/>
                      <a:ext cx="885825" cy="1247775"/>
                    </a:xfrm>
                    <a:prstGeom prst="rect">
                      <a:avLst/>
                    </a:prstGeom>
                    <a:noFill/>
                    <a:ln w="9525">
                      <a:noFill/>
                    </a:ln>
                  </pic:spPr>
                </pic:pic>
              </a:graphicData>
            </a:graphic>
          </wp:anchor>
        </w:drawing>
      </w:r>
      <w:r>
        <w:drawing>
          <wp:anchor distT="0" distB="0" distL="114300" distR="114300" simplePos="0" relativeHeight="251653120" behindDoc="1" locked="0" layoutInCell="1" allowOverlap="1">
            <wp:simplePos x="0" y="0"/>
            <wp:positionH relativeFrom="column">
              <wp:posOffset>2145030</wp:posOffset>
            </wp:positionH>
            <wp:positionV relativeFrom="paragraph">
              <wp:posOffset>166370</wp:posOffset>
            </wp:positionV>
            <wp:extent cx="895350" cy="1247775"/>
            <wp:effectExtent l="0" t="0" r="0" b="9525"/>
            <wp:wrapNone/>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7"/>
                    <a:srcRect t="2448"/>
                    <a:stretch>
                      <a:fillRect/>
                    </a:stretch>
                  </pic:blipFill>
                  <pic:spPr>
                    <a:xfrm>
                      <a:off x="0" y="0"/>
                      <a:ext cx="895350" cy="1247775"/>
                    </a:xfrm>
                    <a:prstGeom prst="rect">
                      <a:avLst/>
                    </a:prstGeom>
                    <a:noFill/>
                    <a:ln w="9525">
                      <a:noFill/>
                    </a:ln>
                  </pic:spPr>
                </pic:pic>
              </a:graphicData>
            </a:graphic>
          </wp:anchor>
        </w:drawing>
      </w:r>
      <w:r>
        <w:drawing>
          <wp:anchor distT="0" distB="0" distL="114300" distR="114300" simplePos="0" relativeHeight="251650048" behindDoc="1" locked="0" layoutInCell="1" allowOverlap="1">
            <wp:simplePos x="0" y="0"/>
            <wp:positionH relativeFrom="column">
              <wp:posOffset>3040380</wp:posOffset>
            </wp:positionH>
            <wp:positionV relativeFrom="paragraph">
              <wp:posOffset>166370</wp:posOffset>
            </wp:positionV>
            <wp:extent cx="948055" cy="1238250"/>
            <wp:effectExtent l="0" t="0" r="4445" b="0"/>
            <wp:wrapNone/>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8"/>
                    <a:srcRect l="22768" t="1761" r="34821"/>
                    <a:stretch>
                      <a:fillRect/>
                    </a:stretch>
                  </pic:blipFill>
                  <pic:spPr>
                    <a:xfrm>
                      <a:off x="0" y="0"/>
                      <a:ext cx="948055" cy="1238250"/>
                    </a:xfrm>
                    <a:prstGeom prst="rect">
                      <a:avLst/>
                    </a:prstGeom>
                    <a:noFill/>
                    <a:ln w="9525">
                      <a:noFill/>
                    </a:ln>
                  </pic:spPr>
                </pic:pic>
              </a:graphicData>
            </a:graphic>
          </wp:anchor>
        </w:drawing>
      </w:r>
      <w:r>
        <w:drawing>
          <wp:anchor distT="0" distB="0" distL="114300" distR="114300" simplePos="0" relativeHeight="251652096" behindDoc="1" locked="0" layoutInCell="1" allowOverlap="1">
            <wp:simplePos x="0" y="0"/>
            <wp:positionH relativeFrom="column">
              <wp:posOffset>-788670</wp:posOffset>
            </wp:positionH>
            <wp:positionV relativeFrom="paragraph">
              <wp:posOffset>156845</wp:posOffset>
            </wp:positionV>
            <wp:extent cx="1857375" cy="1238250"/>
            <wp:effectExtent l="0" t="0" r="9525" b="0"/>
            <wp:wrapNone/>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9"/>
                    <a:stretch>
                      <a:fillRect/>
                    </a:stretch>
                  </pic:blipFill>
                  <pic:spPr>
                    <a:xfrm>
                      <a:off x="0" y="0"/>
                      <a:ext cx="1857375" cy="123825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tabs>
          <w:tab w:val="left" w:pos="560"/>
          <w:tab w:val="center" w:pos="4153"/>
        </w:tabs>
        <w:jc w:val="center"/>
        <w:rPr>
          <w:rFonts w:hint="eastAsia" w:ascii="黑体" w:hAnsi="黑体" w:eastAsia="黑体"/>
          <w:b/>
          <w:sz w:val="24"/>
          <w:szCs w:val="24"/>
        </w:rPr>
      </w:pPr>
    </w:p>
    <w:p>
      <w:pPr>
        <w:tabs>
          <w:tab w:val="left" w:pos="560"/>
          <w:tab w:val="center" w:pos="4153"/>
        </w:tabs>
        <w:jc w:val="center"/>
        <w:rPr>
          <w:rFonts w:hint="eastAsia" w:ascii="黑体" w:hAnsi="黑体" w:eastAsia="黑体"/>
          <w:b/>
          <w:sz w:val="24"/>
          <w:szCs w:val="24"/>
        </w:rPr>
      </w:pPr>
    </w:p>
    <w:p>
      <w:pPr>
        <w:tabs>
          <w:tab w:val="left" w:pos="560"/>
          <w:tab w:val="center" w:pos="4153"/>
        </w:tabs>
        <w:jc w:val="center"/>
        <w:rPr>
          <w:rFonts w:hint="eastAsia" w:ascii="黑体" w:hAnsi="黑体" w:eastAsia="黑体"/>
          <w:b/>
          <w:sz w:val="24"/>
          <w:szCs w:val="24"/>
        </w:rPr>
      </w:pPr>
    </w:p>
    <w:p>
      <w:pPr>
        <w:tabs>
          <w:tab w:val="left" w:pos="560"/>
          <w:tab w:val="center" w:pos="4153"/>
        </w:tabs>
        <w:jc w:val="center"/>
        <w:rPr>
          <w:rFonts w:hint="eastAsia" w:ascii="黑体" w:hAnsi="黑体" w:eastAsia="黑体"/>
          <w:b/>
          <w:sz w:val="24"/>
          <w:szCs w:val="24"/>
        </w:rPr>
      </w:pPr>
    </w:p>
    <w:p>
      <w:pPr>
        <w:tabs>
          <w:tab w:val="left" w:pos="560"/>
          <w:tab w:val="center" w:pos="4153"/>
        </w:tabs>
        <w:jc w:val="center"/>
        <w:rPr>
          <w:rFonts w:hint="eastAsia" w:ascii="黑体" w:hAnsi="黑体" w:eastAsia="黑体"/>
          <w:b/>
          <w:sz w:val="24"/>
          <w:szCs w:val="24"/>
        </w:rPr>
      </w:pPr>
    </w:p>
    <w:p>
      <w:pPr>
        <w:tabs>
          <w:tab w:val="left" w:pos="560"/>
          <w:tab w:val="center" w:pos="4153"/>
        </w:tabs>
        <w:jc w:val="center"/>
        <w:rPr>
          <w:rFonts w:hint="eastAsia" w:ascii="黑体" w:hAnsi="黑体" w:eastAsia="黑体"/>
          <w:b/>
          <w:sz w:val="24"/>
          <w:szCs w:val="24"/>
        </w:rPr>
      </w:pPr>
    </w:p>
    <w:p>
      <w:pPr>
        <w:tabs>
          <w:tab w:val="left" w:pos="560"/>
          <w:tab w:val="center" w:pos="4153"/>
        </w:tabs>
        <w:jc w:val="center"/>
        <w:rPr>
          <w:rFonts w:hint="eastAsia" w:ascii="黑体" w:hAnsi="黑体" w:eastAsia="黑体"/>
          <w:b/>
          <w:sz w:val="24"/>
          <w:szCs w:val="24"/>
        </w:rPr>
      </w:pPr>
    </w:p>
    <w:p>
      <w:pPr>
        <w:tabs>
          <w:tab w:val="left" w:pos="560"/>
          <w:tab w:val="center" w:pos="4153"/>
        </w:tabs>
        <w:jc w:val="center"/>
        <w:rPr>
          <w:rFonts w:hint="eastAsia" w:ascii="黑体" w:hAnsi="黑体" w:eastAsia="黑体"/>
          <w:b/>
          <w:sz w:val="24"/>
          <w:szCs w:val="24"/>
        </w:rPr>
      </w:pPr>
      <w:r>
        <w:rPr>
          <w:rFonts w:hint="eastAsia" w:ascii="黑体" w:hAnsi="黑体" w:eastAsia="黑体"/>
          <w:b/>
          <w:sz w:val="24"/>
          <w:szCs w:val="24"/>
        </w:rPr>
        <w:t>推进粮食供给侧改革</w:t>
      </w:r>
      <w:r>
        <w:rPr>
          <w:rFonts w:ascii="黑体" w:hAnsi="黑体" w:eastAsia="黑体"/>
          <w:b/>
          <w:sz w:val="24"/>
          <w:szCs w:val="24"/>
        </w:rPr>
        <w:t xml:space="preserve">  </w:t>
      </w:r>
      <w:r>
        <w:rPr>
          <w:rFonts w:hint="eastAsia" w:ascii="黑体" w:hAnsi="黑体" w:eastAsia="黑体"/>
          <w:b/>
          <w:sz w:val="24"/>
          <w:szCs w:val="24"/>
        </w:rPr>
        <w:t>做优做强湘米工程</w:t>
      </w:r>
    </w:p>
    <w:p>
      <w:pPr>
        <w:tabs>
          <w:tab w:val="left" w:pos="560"/>
          <w:tab w:val="center" w:pos="4153"/>
        </w:tabs>
        <w:jc w:val="center"/>
        <w:rPr>
          <w:rFonts w:hint="eastAsia" w:ascii="黑体" w:hAnsi="黑体" w:eastAsia="黑体"/>
          <w:b/>
          <w:sz w:val="24"/>
          <w:szCs w:val="24"/>
        </w:rPr>
      </w:pPr>
    </w:p>
    <w:p>
      <w:pPr>
        <w:tabs>
          <w:tab w:val="left" w:pos="560"/>
          <w:tab w:val="center" w:pos="4153"/>
        </w:tabs>
        <w:rPr>
          <w:rFonts w:hint="eastAsia" w:asciiTheme="minorEastAsia" w:hAnsiTheme="minorEastAsia" w:eastAsiaTheme="minorEastAsia" w:cstheme="minorEastAsia"/>
          <w:szCs w:val="21"/>
        </w:rPr>
      </w:pPr>
      <w:r>
        <w:rPr>
          <w:rFonts w:ascii="黑体" w:hAnsi="黑体" w:eastAsia="黑体"/>
          <w:sz w:val="18"/>
          <w:szCs w:val="18"/>
        </w:rPr>
        <w:t xml:space="preserve">  </w:t>
      </w:r>
      <w:r>
        <w:rPr>
          <w:rFonts w:ascii="黑体" w:hAnsi="黑体" w:eastAsia="黑体"/>
          <w:szCs w:val="21"/>
        </w:rPr>
        <w:t xml:space="preserve"> </w:t>
      </w:r>
      <w:r>
        <w:rPr>
          <w:rFonts w:hint="eastAsia" w:asciiTheme="minorEastAsia" w:hAnsiTheme="minorEastAsia" w:eastAsiaTheme="minorEastAsia" w:cstheme="minorEastAsia"/>
          <w:szCs w:val="21"/>
        </w:rPr>
        <w:t>为加快高档优质稻产业化开发，提升食用稻米品质，增强湘米市场竞争力，推进粮食侧结构性改革，改变“稻强米弱”的局面，湖南2017年在全省稳步扩大玉针香等7个高档优质常规稻品质种植面积，重点推广兆优5455等9个高档优质杂交稻新品种，努力把我县建设成为“品质高档化、种植区域化、环境优良化、栽培无害化、产销订单化”的标准化生产基地，为做优做强湘米工程作出贡献。</w:t>
      </w:r>
    </w:p>
    <w:p>
      <w:pPr>
        <w:tabs>
          <w:tab w:val="left" w:pos="560"/>
          <w:tab w:val="center" w:pos="4153"/>
        </w:tabs>
        <w:rPr>
          <w:rFonts w:hint="eastAsia" w:asciiTheme="minorEastAsia" w:hAnsiTheme="minorEastAsia" w:eastAsiaTheme="minorEastAsia" w:cstheme="minorEastAsia"/>
          <w:szCs w:val="21"/>
        </w:rPr>
      </w:pPr>
    </w:p>
    <w:p>
      <w:pPr>
        <w:spacing w:beforeLines="50" w:afterLines="50"/>
        <w:jc w:val="center"/>
        <w:rPr>
          <w:rFonts w:hint="eastAsia" w:ascii="黑体" w:hAnsi="黑体" w:eastAsia="黑体" w:cs="宋体"/>
          <w:b/>
          <w:bCs/>
          <w:kern w:val="0"/>
          <w:sz w:val="24"/>
          <w:szCs w:val="24"/>
        </w:rPr>
      </w:pPr>
      <w:r>
        <w:rPr>
          <w:rFonts w:hint="eastAsia" w:ascii="黑体" w:hAnsi="黑体" w:eastAsia="黑体" w:cs="宋体"/>
          <w:b/>
          <w:bCs/>
          <w:kern w:val="0"/>
          <w:sz w:val="24"/>
          <w:szCs w:val="24"/>
        </w:rPr>
        <w:t>湖南省主推高档优质稻品种简介</w:t>
      </w:r>
    </w:p>
    <w:p>
      <w:pPr>
        <w:spacing w:beforeLines="50" w:afterLines="50"/>
        <w:jc w:val="center"/>
        <w:rPr>
          <w:rFonts w:hint="eastAsia" w:ascii="黑体" w:hAnsi="黑体" w:eastAsia="黑体" w:cs="宋体"/>
          <w:kern w:val="0"/>
          <w:szCs w:val="21"/>
        </w:rPr>
      </w:pPr>
    </w:p>
    <w:tbl>
      <w:tblPr>
        <w:tblStyle w:val="13"/>
        <w:tblW w:w="938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365"/>
        <w:gridCol w:w="1035"/>
        <w:gridCol w:w="674"/>
        <w:gridCol w:w="948"/>
        <w:gridCol w:w="514"/>
        <w:gridCol w:w="683"/>
        <w:gridCol w:w="4316"/>
        <w:gridCol w:w="8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700" w:hRule="atLeast"/>
          <w:jc w:val="center"/>
        </w:trPr>
        <w:tc>
          <w:tcPr>
            <w:tcW w:w="365"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类别</w:t>
            </w:r>
          </w:p>
        </w:tc>
        <w:tc>
          <w:tcPr>
            <w:tcW w:w="1035"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品</w:t>
            </w:r>
            <w:r>
              <w:rPr>
                <w:rFonts w:ascii="黑体" w:hAnsi="黑体" w:eastAsia="黑体" w:cs="宋体"/>
                <w:b/>
                <w:bCs/>
                <w:kern w:val="0"/>
                <w:sz w:val="18"/>
                <w:szCs w:val="18"/>
              </w:rPr>
              <w:t xml:space="preserve"> </w:t>
            </w:r>
            <w:r>
              <w:rPr>
                <w:rFonts w:hint="eastAsia" w:ascii="黑体" w:hAnsi="黑体" w:eastAsia="黑体" w:cs="宋体"/>
                <w:b/>
                <w:bCs/>
                <w:kern w:val="0"/>
                <w:sz w:val="18"/>
                <w:szCs w:val="18"/>
              </w:rPr>
              <w:t>种</w:t>
            </w:r>
          </w:p>
        </w:tc>
        <w:tc>
          <w:tcPr>
            <w:tcW w:w="674"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全生育期</w:t>
            </w:r>
            <w:r>
              <w:rPr>
                <w:rFonts w:ascii="黑体" w:hAnsi="黑体" w:eastAsia="黑体" w:cs="宋体"/>
                <w:b/>
                <w:bCs/>
                <w:kern w:val="0"/>
                <w:sz w:val="18"/>
                <w:szCs w:val="18"/>
              </w:rPr>
              <w:br w:type="textWrapping"/>
            </w:r>
            <w:r>
              <w:rPr>
                <w:rFonts w:hint="eastAsia" w:ascii="黑体" w:hAnsi="黑体" w:eastAsia="黑体" w:cs="宋体"/>
                <w:b/>
                <w:bCs/>
                <w:kern w:val="0"/>
                <w:sz w:val="18"/>
                <w:szCs w:val="18"/>
              </w:rPr>
              <w:t>（天）</w:t>
            </w:r>
          </w:p>
        </w:tc>
        <w:tc>
          <w:tcPr>
            <w:tcW w:w="948"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熟期</w:t>
            </w:r>
          </w:p>
        </w:tc>
        <w:tc>
          <w:tcPr>
            <w:tcW w:w="514"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米质</w:t>
            </w:r>
            <w:r>
              <w:rPr>
                <w:rFonts w:ascii="黑体" w:hAnsi="黑体" w:eastAsia="黑体" w:cs="宋体"/>
                <w:b/>
                <w:bCs/>
                <w:kern w:val="0"/>
                <w:sz w:val="18"/>
                <w:szCs w:val="18"/>
              </w:rPr>
              <w:br w:type="textWrapping"/>
            </w:r>
            <w:r>
              <w:rPr>
                <w:rFonts w:hint="eastAsia" w:ascii="黑体" w:hAnsi="黑体" w:eastAsia="黑体" w:cs="宋体"/>
                <w:b/>
                <w:bCs/>
                <w:kern w:val="0"/>
                <w:sz w:val="18"/>
                <w:szCs w:val="18"/>
              </w:rPr>
              <w:t>等级</w:t>
            </w:r>
          </w:p>
        </w:tc>
        <w:tc>
          <w:tcPr>
            <w:tcW w:w="683"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千粒重（克）</w:t>
            </w:r>
          </w:p>
        </w:tc>
        <w:tc>
          <w:tcPr>
            <w:tcW w:w="4316"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抗性指标</w:t>
            </w:r>
          </w:p>
        </w:tc>
        <w:tc>
          <w:tcPr>
            <w:tcW w:w="848" w:type="dxa"/>
            <w:vAlign w:val="center"/>
          </w:tcPr>
          <w:p>
            <w:pPr>
              <w:widowControl/>
              <w:spacing w:line="180" w:lineRule="exact"/>
              <w:jc w:val="center"/>
              <w:rPr>
                <w:rFonts w:ascii="黑体" w:hAnsi="黑体" w:eastAsia="黑体" w:cs="宋体"/>
                <w:b/>
                <w:bCs/>
                <w:kern w:val="0"/>
                <w:sz w:val="18"/>
                <w:szCs w:val="18"/>
              </w:rPr>
            </w:pPr>
            <w:r>
              <w:rPr>
                <w:rFonts w:hint="eastAsia" w:ascii="黑体" w:hAnsi="黑体" w:eastAsia="黑体" w:cs="宋体"/>
                <w:b/>
                <w:bCs/>
                <w:kern w:val="0"/>
                <w:sz w:val="18"/>
                <w:szCs w:val="1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restart"/>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常</w:t>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hint="eastAsia" w:ascii="黑体" w:hAnsi="黑体" w:eastAsia="黑体" w:cs="宋体"/>
                <w:kern w:val="0"/>
                <w:sz w:val="18"/>
                <w:szCs w:val="18"/>
              </w:rPr>
              <w:t>规</w:t>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hint="eastAsia" w:ascii="黑体" w:hAnsi="黑体" w:eastAsia="黑体" w:cs="宋体"/>
                <w:kern w:val="0"/>
                <w:sz w:val="18"/>
                <w:szCs w:val="18"/>
              </w:rPr>
              <w:t>稻</w:t>
            </w: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玉针香</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114</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中熟晚稻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一等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28.0</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ascii="黑体" w:hAnsi="黑体" w:eastAsia="黑体" w:cs="宋体"/>
                <w:kern w:val="0"/>
                <w:sz w:val="18"/>
                <w:szCs w:val="18"/>
              </w:rPr>
              <w:t>.</w:t>
            </w:r>
            <w:r>
              <w:rPr>
                <w:rFonts w:hint="eastAsia" w:ascii="黑体" w:hAnsi="黑体" w:eastAsia="黑体" w:cs="宋体"/>
                <w:kern w:val="0"/>
                <w:sz w:val="18"/>
                <w:szCs w:val="18"/>
              </w:rPr>
              <w:t>稻瘟病综合抗性指数</w:t>
            </w:r>
            <w:r>
              <w:rPr>
                <w:rFonts w:ascii="黑体" w:hAnsi="黑体" w:eastAsia="黑体" w:cs="宋体"/>
                <w:kern w:val="0"/>
                <w:sz w:val="18"/>
                <w:szCs w:val="18"/>
              </w:rPr>
              <w:t>8.2</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ascii="黑体" w:hAnsi="黑体" w:eastAsia="黑体" w:cs="宋体"/>
                <w:kern w:val="0"/>
                <w:sz w:val="18"/>
                <w:szCs w:val="18"/>
              </w:rPr>
              <w:t>.</w:t>
            </w:r>
            <w:r>
              <w:rPr>
                <w:rFonts w:hint="eastAsia" w:ascii="黑体" w:hAnsi="黑体" w:eastAsia="黑体" w:cs="宋体"/>
                <w:kern w:val="0"/>
                <w:sz w:val="18"/>
                <w:szCs w:val="18"/>
              </w:rPr>
              <w:t>白叶枯病</w:t>
            </w:r>
            <w:r>
              <w:rPr>
                <w:rFonts w:ascii="黑体" w:hAnsi="黑体" w:eastAsia="黑体" w:cs="宋体"/>
                <w:kern w:val="0"/>
                <w:sz w:val="18"/>
                <w:szCs w:val="18"/>
              </w:rPr>
              <w:t>7</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抗寒能力较强。</w:t>
            </w:r>
          </w:p>
        </w:tc>
        <w:tc>
          <w:tcPr>
            <w:tcW w:w="848" w:type="dxa"/>
            <w:vMerge w:val="restart"/>
            <w:vAlign w:val="center"/>
          </w:tcPr>
          <w:p>
            <w:pPr>
              <w:widowControl/>
              <w:spacing w:line="180" w:lineRule="exact"/>
              <w:jc w:val="left"/>
              <w:rPr>
                <w:rFonts w:ascii="黑体" w:hAnsi="黑体" w:eastAsia="黑体" w:cs="宋体"/>
                <w:kern w:val="0"/>
                <w:sz w:val="18"/>
                <w:szCs w:val="18"/>
              </w:rPr>
            </w:pPr>
            <w:r>
              <w:rPr>
                <w:rFonts w:hint="eastAsia" w:ascii="黑体" w:hAnsi="黑体" w:eastAsia="黑体" w:cs="宋体"/>
                <w:b/>
                <w:bCs/>
                <w:kern w:val="0"/>
                <w:sz w:val="18"/>
                <w:szCs w:val="18"/>
              </w:rPr>
              <w:t>注</w:t>
            </w:r>
            <w:r>
              <w:rPr>
                <w:rFonts w:hint="eastAsia" w:ascii="黑体" w:hAnsi="黑体" w:eastAsia="黑体" w:cs="宋体"/>
                <w:kern w:val="0"/>
                <w:sz w:val="18"/>
                <w:szCs w:val="18"/>
              </w:rPr>
              <w:t>：</w:t>
            </w:r>
            <w:r>
              <w:rPr>
                <w:rFonts w:ascii="黑体" w:hAnsi="黑体" w:eastAsia="黑体" w:cs="宋体"/>
                <w:kern w:val="0"/>
                <w:sz w:val="18"/>
                <w:szCs w:val="18"/>
              </w:rPr>
              <w:t>1</w:t>
            </w:r>
            <w:r>
              <w:rPr>
                <w:rFonts w:hint="eastAsia" w:ascii="黑体" w:hAnsi="黑体" w:eastAsia="黑体" w:cs="宋体"/>
                <w:kern w:val="0"/>
                <w:sz w:val="18"/>
                <w:szCs w:val="18"/>
              </w:rPr>
              <w:t>、抗性指标在</w:t>
            </w:r>
            <w:r>
              <w:rPr>
                <w:rFonts w:ascii="黑体" w:hAnsi="黑体" w:eastAsia="黑体" w:cs="宋体"/>
                <w:kern w:val="0"/>
                <w:sz w:val="18"/>
                <w:szCs w:val="18"/>
              </w:rPr>
              <w:t>0-9</w:t>
            </w:r>
            <w:r>
              <w:rPr>
                <w:rFonts w:hint="eastAsia" w:ascii="黑体" w:hAnsi="黑体" w:eastAsia="黑体" w:cs="宋体"/>
                <w:kern w:val="0"/>
                <w:sz w:val="18"/>
                <w:szCs w:val="18"/>
              </w:rPr>
              <w:t>级之间，级别越高，抗病性越低；</w:t>
            </w:r>
            <w:r>
              <w:rPr>
                <w:rFonts w:ascii="黑体" w:hAnsi="黑体" w:eastAsia="黑体" w:cs="宋体"/>
                <w:kern w:val="0"/>
                <w:sz w:val="18"/>
                <w:szCs w:val="18"/>
              </w:rPr>
              <w:t>0</w:t>
            </w:r>
            <w:r>
              <w:rPr>
                <w:rFonts w:hint="eastAsia" w:ascii="黑体" w:hAnsi="黑体" w:eastAsia="黑体" w:cs="宋体"/>
                <w:kern w:val="0"/>
                <w:sz w:val="18"/>
                <w:szCs w:val="18"/>
              </w:rPr>
              <w:t>级为高抗，</w:t>
            </w:r>
            <w:r>
              <w:rPr>
                <w:rFonts w:ascii="黑体" w:hAnsi="黑体" w:eastAsia="黑体" w:cs="宋体"/>
                <w:kern w:val="0"/>
                <w:sz w:val="18"/>
                <w:szCs w:val="18"/>
              </w:rPr>
              <w:t>1</w:t>
            </w:r>
            <w:r>
              <w:rPr>
                <w:rFonts w:hint="eastAsia" w:ascii="黑体" w:hAnsi="黑体" w:eastAsia="黑体" w:cs="宋体"/>
                <w:kern w:val="0"/>
                <w:sz w:val="18"/>
                <w:szCs w:val="18"/>
              </w:rPr>
              <w:t>级为抗，</w:t>
            </w:r>
            <w:r>
              <w:rPr>
                <w:rFonts w:ascii="黑体" w:hAnsi="黑体" w:eastAsia="黑体" w:cs="宋体"/>
                <w:kern w:val="0"/>
                <w:sz w:val="18"/>
                <w:szCs w:val="18"/>
              </w:rPr>
              <w:t>3</w:t>
            </w:r>
            <w:r>
              <w:rPr>
                <w:rFonts w:hint="eastAsia" w:ascii="黑体" w:hAnsi="黑体" w:eastAsia="黑体" w:cs="宋体"/>
                <w:kern w:val="0"/>
                <w:sz w:val="18"/>
                <w:szCs w:val="18"/>
              </w:rPr>
              <w:t>级为中抗，</w:t>
            </w:r>
            <w:r>
              <w:rPr>
                <w:rFonts w:ascii="黑体" w:hAnsi="黑体" w:eastAsia="黑体" w:cs="宋体"/>
                <w:kern w:val="0"/>
                <w:sz w:val="18"/>
                <w:szCs w:val="18"/>
              </w:rPr>
              <w:t>5</w:t>
            </w:r>
            <w:r>
              <w:rPr>
                <w:rFonts w:hint="eastAsia" w:ascii="黑体" w:hAnsi="黑体" w:eastAsia="黑体" w:cs="宋体"/>
                <w:kern w:val="0"/>
                <w:sz w:val="18"/>
                <w:szCs w:val="18"/>
              </w:rPr>
              <w:t>级为中感，</w:t>
            </w:r>
          </w:p>
          <w:p>
            <w:pPr>
              <w:widowControl/>
              <w:spacing w:line="180" w:lineRule="exact"/>
              <w:jc w:val="left"/>
              <w:rPr>
                <w:rFonts w:ascii="黑体" w:hAnsi="黑体" w:eastAsia="黑体" w:cs="宋体"/>
                <w:kern w:val="0"/>
                <w:sz w:val="18"/>
                <w:szCs w:val="18"/>
              </w:rPr>
            </w:pPr>
            <w:r>
              <w:rPr>
                <w:rFonts w:ascii="黑体" w:hAnsi="黑体" w:eastAsia="黑体" w:cs="宋体"/>
                <w:kern w:val="0"/>
                <w:sz w:val="18"/>
                <w:szCs w:val="18"/>
              </w:rPr>
              <w:t>7</w:t>
            </w:r>
            <w:r>
              <w:rPr>
                <w:rFonts w:hint="eastAsia" w:ascii="黑体" w:hAnsi="黑体" w:eastAsia="黑体" w:cs="宋体"/>
                <w:kern w:val="0"/>
                <w:sz w:val="18"/>
                <w:szCs w:val="18"/>
              </w:rPr>
              <w:t>级为感，</w:t>
            </w:r>
            <w:r>
              <w:rPr>
                <w:rFonts w:ascii="黑体" w:hAnsi="黑体" w:eastAsia="黑体" w:cs="宋体"/>
                <w:kern w:val="0"/>
                <w:sz w:val="18"/>
                <w:szCs w:val="18"/>
              </w:rPr>
              <w:t>9</w:t>
            </w:r>
            <w:r>
              <w:rPr>
                <w:rFonts w:hint="eastAsia" w:ascii="黑体" w:hAnsi="黑体" w:eastAsia="黑体" w:cs="宋体"/>
                <w:kern w:val="0"/>
                <w:sz w:val="18"/>
                <w:szCs w:val="18"/>
              </w:rPr>
              <w:t>级为高感。</w:t>
            </w:r>
            <w:r>
              <w:rPr>
                <w:rFonts w:ascii="黑体" w:hAnsi="黑体" w:eastAsia="黑体" w:cs="宋体"/>
                <w:kern w:val="0"/>
                <w:sz w:val="18"/>
                <w:szCs w:val="18"/>
              </w:rPr>
              <w:t>2</w:t>
            </w:r>
            <w:r>
              <w:rPr>
                <w:rFonts w:hint="eastAsia" w:ascii="黑体" w:hAnsi="黑体" w:eastAsia="黑体" w:cs="宋体"/>
                <w:kern w:val="0"/>
                <w:sz w:val="18"/>
                <w:szCs w:val="18"/>
              </w:rPr>
              <w:t>、栽培措施请查阅品种介绍及其栽培要点。</w:t>
            </w:r>
          </w:p>
          <w:p>
            <w:pPr>
              <w:widowControl/>
              <w:spacing w:line="180" w:lineRule="exact"/>
              <w:jc w:val="left"/>
              <w:rPr>
                <w:rFonts w:ascii="黑体" w:hAnsi="黑体" w:eastAsia="黑体" w:cs="宋体"/>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玉晶</w:t>
            </w:r>
            <w:r>
              <w:rPr>
                <w:rFonts w:ascii="黑体" w:hAnsi="黑体" w:eastAsia="黑体" w:cs="宋体"/>
                <w:kern w:val="0"/>
                <w:sz w:val="18"/>
                <w:szCs w:val="18"/>
              </w:rPr>
              <w:t>91</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113.4</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中熟晚稻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一等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32.7</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4.6</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7</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耐低温。</w:t>
            </w:r>
          </w:p>
        </w:tc>
        <w:tc>
          <w:tcPr>
            <w:tcW w:w="848" w:type="dxa"/>
            <w:vMerge w:val="continue"/>
            <w:vAlign w:val="center"/>
          </w:tcPr>
          <w:p>
            <w:pPr>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湘晚籼</w:t>
            </w:r>
            <w:r>
              <w:rPr>
                <w:rFonts w:ascii="黑体" w:hAnsi="黑体" w:eastAsia="黑体" w:cs="宋体"/>
                <w:kern w:val="0"/>
                <w:sz w:val="18"/>
                <w:szCs w:val="18"/>
              </w:rPr>
              <w:t>17</w:t>
            </w:r>
            <w:r>
              <w:rPr>
                <w:rFonts w:hint="eastAsia" w:ascii="黑体" w:hAnsi="黑体" w:eastAsia="黑体" w:cs="宋体"/>
                <w:kern w:val="0"/>
                <w:sz w:val="18"/>
                <w:szCs w:val="18"/>
              </w:rPr>
              <w:t>号</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117</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中熟晚稻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一等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26.1</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穗颈瘟</w:t>
            </w:r>
            <w:r>
              <w:rPr>
                <w:rFonts w:ascii="黑体" w:hAnsi="黑体" w:eastAsia="黑体" w:cs="宋体"/>
                <w:kern w:val="0"/>
                <w:sz w:val="18"/>
                <w:szCs w:val="18"/>
              </w:rPr>
              <w:t>9</w:t>
            </w:r>
            <w:r>
              <w:rPr>
                <w:rFonts w:hint="eastAsia" w:ascii="黑体" w:hAnsi="黑体" w:eastAsia="黑体" w:cs="宋体"/>
                <w:kern w:val="0"/>
                <w:sz w:val="18"/>
                <w:szCs w:val="18"/>
              </w:rPr>
              <w:t>级，稻瘟病综合抗性指数</w:t>
            </w:r>
            <w:r>
              <w:rPr>
                <w:rFonts w:ascii="黑体" w:hAnsi="黑体" w:eastAsia="黑体" w:cs="宋体"/>
                <w:kern w:val="0"/>
                <w:sz w:val="18"/>
                <w:szCs w:val="18"/>
              </w:rPr>
              <w:t>7.3</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5</w:t>
            </w:r>
            <w:r>
              <w:rPr>
                <w:rFonts w:hint="eastAsia" w:ascii="黑体" w:hAnsi="黑体" w:eastAsia="黑体" w:cs="宋体"/>
                <w:kern w:val="0"/>
                <w:sz w:val="18"/>
                <w:szCs w:val="18"/>
              </w:rPr>
              <w:t>级。</w:t>
            </w:r>
          </w:p>
        </w:tc>
        <w:tc>
          <w:tcPr>
            <w:tcW w:w="848" w:type="dxa"/>
            <w:vMerge w:val="continue"/>
            <w:vAlign w:val="center"/>
          </w:tcPr>
          <w:p>
            <w:pPr>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湘晚籼</w:t>
            </w:r>
            <w:r>
              <w:rPr>
                <w:rFonts w:ascii="黑体" w:hAnsi="黑体" w:eastAsia="黑体" w:cs="宋体"/>
                <w:kern w:val="0"/>
                <w:sz w:val="18"/>
                <w:szCs w:val="18"/>
              </w:rPr>
              <w:t>13</w:t>
            </w:r>
            <w:r>
              <w:rPr>
                <w:rFonts w:hint="eastAsia" w:ascii="黑体" w:hAnsi="黑体" w:eastAsia="黑体" w:cs="宋体"/>
                <w:kern w:val="0"/>
                <w:sz w:val="18"/>
                <w:szCs w:val="18"/>
              </w:rPr>
              <w:t>号</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123.7</w:t>
            </w:r>
          </w:p>
        </w:tc>
        <w:tc>
          <w:tcPr>
            <w:tcW w:w="948" w:type="dxa"/>
            <w:vAlign w:val="center"/>
          </w:tcPr>
          <w:p>
            <w:pPr>
              <w:widowControl/>
              <w:spacing w:line="180" w:lineRule="exact"/>
              <w:ind w:firstLine="90" w:firstLineChars="50"/>
              <w:jc w:val="center"/>
              <w:rPr>
                <w:rFonts w:ascii="黑体" w:hAnsi="黑体" w:eastAsia="黑体" w:cs="宋体"/>
                <w:kern w:val="0"/>
                <w:sz w:val="18"/>
                <w:szCs w:val="18"/>
              </w:rPr>
            </w:pPr>
            <w:r>
              <w:rPr>
                <w:rFonts w:hint="eastAsia" w:ascii="黑体" w:hAnsi="黑体" w:eastAsia="黑体" w:cs="宋体"/>
                <w:kern w:val="0"/>
                <w:sz w:val="18"/>
                <w:szCs w:val="18"/>
              </w:rPr>
              <w:t>迟熟晚稻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28.0</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ascii="黑体" w:hAnsi="黑体" w:eastAsia="黑体" w:cs="宋体"/>
                <w:kern w:val="0"/>
                <w:sz w:val="18"/>
                <w:szCs w:val="18"/>
              </w:rPr>
              <w:t>.</w:t>
            </w:r>
            <w:r>
              <w:rPr>
                <w:rFonts w:hint="eastAsia" w:ascii="黑体" w:hAnsi="黑体" w:eastAsia="黑体" w:cs="宋体"/>
                <w:kern w:val="0"/>
                <w:sz w:val="18"/>
                <w:szCs w:val="18"/>
              </w:rPr>
              <w:t>稻瘟病</w:t>
            </w:r>
            <w:r>
              <w:rPr>
                <w:rFonts w:ascii="黑体" w:hAnsi="黑体" w:eastAsia="黑体" w:cs="宋体"/>
                <w:kern w:val="0"/>
                <w:sz w:val="18"/>
                <w:szCs w:val="18"/>
              </w:rPr>
              <w:t>9</w:t>
            </w:r>
            <w:r>
              <w:rPr>
                <w:rFonts w:hint="eastAsia" w:ascii="黑体" w:hAnsi="黑体" w:eastAsia="黑体" w:cs="宋体"/>
                <w:kern w:val="0"/>
                <w:sz w:val="18"/>
                <w:szCs w:val="18"/>
              </w:rPr>
              <w:t>级；</w:t>
            </w:r>
            <w:r>
              <w:rPr>
                <w:rFonts w:ascii="黑体" w:hAnsi="黑体" w:eastAsia="黑体" w:cs="宋体"/>
                <w:b/>
                <w:bCs/>
                <w:kern w:val="0"/>
                <w:sz w:val="18"/>
                <w:szCs w:val="18"/>
              </w:rPr>
              <w:t>2</w:t>
            </w:r>
            <w:r>
              <w:rPr>
                <w:rFonts w:ascii="黑体" w:hAnsi="黑体" w:eastAsia="黑体" w:cs="宋体"/>
                <w:kern w:val="0"/>
                <w:sz w:val="18"/>
                <w:szCs w:val="18"/>
              </w:rPr>
              <w:t>.</w:t>
            </w:r>
            <w:r>
              <w:rPr>
                <w:rFonts w:hint="eastAsia" w:ascii="黑体" w:hAnsi="黑体" w:eastAsia="黑体" w:cs="宋体"/>
                <w:kern w:val="0"/>
                <w:sz w:val="18"/>
                <w:szCs w:val="18"/>
              </w:rPr>
              <w:t>白叶枯病</w:t>
            </w:r>
            <w:r>
              <w:rPr>
                <w:rFonts w:ascii="黑体" w:hAnsi="黑体" w:eastAsia="黑体" w:cs="宋体"/>
                <w:kern w:val="0"/>
                <w:sz w:val="18"/>
                <w:szCs w:val="18"/>
              </w:rPr>
              <w:t>3</w:t>
            </w:r>
            <w:r>
              <w:rPr>
                <w:rFonts w:hint="eastAsia" w:ascii="黑体" w:hAnsi="黑体" w:eastAsia="黑体" w:cs="宋体"/>
                <w:kern w:val="0"/>
                <w:sz w:val="18"/>
                <w:szCs w:val="18"/>
              </w:rPr>
              <w:t>级。</w:t>
            </w:r>
          </w:p>
        </w:tc>
        <w:tc>
          <w:tcPr>
            <w:tcW w:w="848" w:type="dxa"/>
            <w:vMerge w:val="continue"/>
            <w:vAlign w:val="center"/>
          </w:tcPr>
          <w:p>
            <w:pPr>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农香</w:t>
            </w:r>
            <w:r>
              <w:rPr>
                <w:rFonts w:ascii="黑体" w:hAnsi="黑体" w:eastAsia="黑体" w:cs="宋体"/>
                <w:kern w:val="0"/>
                <w:sz w:val="18"/>
                <w:szCs w:val="18"/>
              </w:rPr>
              <w:t>32</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137.5</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中熟一季稻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27.7</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5.6</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7</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不耐高、低温。</w:t>
            </w:r>
          </w:p>
        </w:tc>
        <w:tc>
          <w:tcPr>
            <w:tcW w:w="848" w:type="dxa"/>
            <w:vMerge w:val="continue"/>
            <w:vAlign w:val="center"/>
          </w:tcPr>
          <w:p>
            <w:pPr>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星二号</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123</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一季晚稻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一等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30.0</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6.8</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ascii="黑体" w:hAnsi="黑体" w:eastAsia="黑体" w:cs="宋体"/>
                <w:kern w:val="0"/>
                <w:sz w:val="18"/>
                <w:szCs w:val="18"/>
              </w:rPr>
              <w:t>.</w:t>
            </w:r>
            <w:r>
              <w:rPr>
                <w:rFonts w:hint="eastAsia" w:ascii="黑体" w:hAnsi="黑体" w:eastAsia="黑体" w:cs="宋体"/>
                <w:kern w:val="0"/>
                <w:sz w:val="18"/>
                <w:szCs w:val="18"/>
              </w:rPr>
              <w:t>抗高温能力强；</w:t>
            </w:r>
            <w:r>
              <w:rPr>
                <w:rFonts w:ascii="黑体" w:hAnsi="黑体" w:eastAsia="黑体" w:cs="宋体"/>
                <w:b/>
                <w:bCs/>
                <w:kern w:val="0"/>
                <w:sz w:val="18"/>
                <w:szCs w:val="18"/>
              </w:rPr>
              <w:t>3.</w:t>
            </w:r>
            <w:r>
              <w:rPr>
                <w:rFonts w:hint="eastAsia" w:ascii="黑体" w:hAnsi="黑体" w:eastAsia="黑体" w:cs="宋体"/>
                <w:kern w:val="0"/>
                <w:sz w:val="18"/>
                <w:szCs w:val="18"/>
              </w:rPr>
              <w:t>耐低温力中等。</w:t>
            </w:r>
          </w:p>
        </w:tc>
        <w:tc>
          <w:tcPr>
            <w:tcW w:w="848" w:type="dxa"/>
            <w:vMerge w:val="continue"/>
            <w:vAlign w:val="center"/>
          </w:tcPr>
          <w:p>
            <w:pPr>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华润</w:t>
            </w:r>
            <w:r>
              <w:rPr>
                <w:rFonts w:ascii="黑体" w:hAnsi="黑体" w:eastAsia="黑体" w:cs="宋体"/>
                <w:kern w:val="0"/>
                <w:sz w:val="18"/>
                <w:szCs w:val="18"/>
              </w:rPr>
              <w:t>2</w:t>
            </w:r>
            <w:r>
              <w:rPr>
                <w:rFonts w:hint="eastAsia" w:ascii="黑体" w:hAnsi="黑体" w:eastAsia="黑体" w:cs="宋体"/>
                <w:kern w:val="0"/>
                <w:sz w:val="18"/>
                <w:szCs w:val="18"/>
              </w:rPr>
              <w:t>号</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118.6</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迟熟晚稻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24.0</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4.62</w:t>
            </w:r>
            <w:r>
              <w:rPr>
                <w:rFonts w:hint="eastAsia" w:ascii="黑体" w:hAnsi="黑体" w:eastAsia="黑体" w:cs="宋体"/>
                <w:kern w:val="0"/>
                <w:sz w:val="18"/>
                <w:szCs w:val="18"/>
              </w:rPr>
              <w:t>级；</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4</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耐低温力强。</w:t>
            </w:r>
          </w:p>
        </w:tc>
        <w:tc>
          <w:tcPr>
            <w:tcW w:w="848" w:type="dxa"/>
            <w:vMerge w:val="continue"/>
            <w:vAlign w:val="center"/>
          </w:tcPr>
          <w:p>
            <w:pPr>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restart"/>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杂</w:t>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hint="eastAsia" w:ascii="黑体" w:hAnsi="黑体" w:eastAsia="黑体" w:cs="宋体"/>
                <w:kern w:val="0"/>
                <w:sz w:val="18"/>
                <w:szCs w:val="18"/>
              </w:rPr>
              <w:t>交</w:t>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ascii="黑体" w:hAnsi="黑体" w:eastAsia="黑体" w:cs="宋体"/>
                <w:kern w:val="0"/>
                <w:sz w:val="18"/>
                <w:szCs w:val="18"/>
              </w:rPr>
              <w:br w:type="textWrapping"/>
            </w:r>
            <w:r>
              <w:rPr>
                <w:rFonts w:hint="eastAsia" w:ascii="黑体" w:hAnsi="黑体" w:eastAsia="黑体" w:cs="宋体"/>
                <w:kern w:val="0"/>
                <w:sz w:val="18"/>
                <w:szCs w:val="18"/>
              </w:rPr>
              <w:t>稻</w:t>
            </w: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兆优</w:t>
            </w:r>
            <w:r>
              <w:rPr>
                <w:rFonts w:ascii="黑体" w:hAnsi="黑体" w:eastAsia="黑体" w:cs="宋体"/>
                <w:kern w:val="0"/>
                <w:sz w:val="18"/>
                <w:szCs w:val="18"/>
              </w:rPr>
              <w:t>5455</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147</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迟熟一季稻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27.5</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4.7</w:t>
            </w:r>
            <w:r>
              <w:rPr>
                <w:rFonts w:hint="eastAsia" w:ascii="黑体" w:hAnsi="黑体" w:eastAsia="黑体" w:cs="宋体"/>
                <w:kern w:val="0"/>
                <w:sz w:val="18"/>
                <w:szCs w:val="18"/>
              </w:rPr>
              <w:t>级；</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5</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稻曲病</w:t>
            </w:r>
            <w:r>
              <w:rPr>
                <w:rFonts w:ascii="黑体" w:hAnsi="黑体" w:eastAsia="黑体" w:cs="宋体"/>
                <w:kern w:val="0"/>
                <w:sz w:val="18"/>
                <w:szCs w:val="18"/>
              </w:rPr>
              <w:t>5</w:t>
            </w:r>
            <w:r>
              <w:rPr>
                <w:rFonts w:hint="eastAsia" w:ascii="黑体" w:hAnsi="黑体" w:eastAsia="黑体" w:cs="宋体"/>
                <w:kern w:val="0"/>
                <w:sz w:val="18"/>
                <w:szCs w:val="18"/>
              </w:rPr>
              <w:t>级。</w:t>
            </w:r>
          </w:p>
        </w:tc>
        <w:tc>
          <w:tcPr>
            <w:tcW w:w="848" w:type="dxa"/>
            <w:vMerge w:val="continue"/>
            <w:vAlign w:val="center"/>
          </w:tcPr>
          <w:p>
            <w:pPr>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兆优</w:t>
            </w:r>
            <w:r>
              <w:rPr>
                <w:rFonts w:ascii="黑体" w:hAnsi="黑体" w:eastAsia="黑体" w:cs="宋体"/>
                <w:kern w:val="0"/>
                <w:sz w:val="18"/>
                <w:szCs w:val="18"/>
              </w:rPr>
              <w:t>5431</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135-140</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迟熟一季稻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26.3</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3.5</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5</w:t>
            </w:r>
            <w:r>
              <w:rPr>
                <w:rFonts w:hint="eastAsia" w:ascii="黑体" w:hAnsi="黑体" w:eastAsia="黑体" w:cs="宋体"/>
                <w:kern w:val="0"/>
                <w:sz w:val="18"/>
                <w:szCs w:val="18"/>
              </w:rPr>
              <w:t>级。</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泰优</w:t>
            </w:r>
            <w:r>
              <w:rPr>
                <w:rFonts w:ascii="黑体" w:hAnsi="黑体" w:eastAsia="黑体" w:cs="宋体"/>
                <w:kern w:val="0"/>
                <w:sz w:val="18"/>
                <w:szCs w:val="18"/>
              </w:rPr>
              <w:t>390</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118.5</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迟熟晚稻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25.2</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4.7</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6</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稻曲病</w:t>
            </w:r>
            <w:r>
              <w:rPr>
                <w:rFonts w:ascii="黑体" w:hAnsi="黑体" w:eastAsia="黑体" w:cs="宋体"/>
                <w:kern w:val="0"/>
                <w:sz w:val="18"/>
                <w:szCs w:val="18"/>
              </w:rPr>
              <w:t>6</w:t>
            </w:r>
            <w:r>
              <w:rPr>
                <w:rFonts w:hint="eastAsia" w:ascii="黑体" w:hAnsi="黑体" w:eastAsia="黑体" w:cs="宋体"/>
                <w:kern w:val="0"/>
                <w:sz w:val="18"/>
                <w:szCs w:val="18"/>
              </w:rPr>
              <w:t>级。</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桃优香占</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113.4</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中熟晚稻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28.8</w:t>
            </w:r>
          </w:p>
        </w:tc>
        <w:tc>
          <w:tcPr>
            <w:tcW w:w="4316" w:type="dxa"/>
            <w:vAlign w:val="center"/>
          </w:tcPr>
          <w:p>
            <w:pPr>
              <w:widowControl/>
              <w:spacing w:line="180" w:lineRule="exact"/>
              <w:jc w:val="left"/>
              <w:rPr>
                <w:rFonts w:ascii="黑体" w:hAnsi="黑体" w:eastAsia="黑体" w:cs="宋体"/>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3.9</w:t>
            </w:r>
            <w:r>
              <w:rPr>
                <w:rFonts w:hint="eastAsia" w:ascii="黑体" w:hAnsi="黑体" w:eastAsia="黑体" w:cs="宋体"/>
                <w:kern w:val="0"/>
                <w:sz w:val="18"/>
                <w:szCs w:val="18"/>
              </w:rPr>
              <w:t>级；</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7</w:t>
            </w:r>
            <w:r>
              <w:rPr>
                <w:rFonts w:hint="eastAsia" w:ascii="黑体" w:hAnsi="黑体" w:eastAsia="黑体" w:cs="宋体"/>
                <w:kern w:val="0"/>
                <w:sz w:val="18"/>
                <w:szCs w:val="18"/>
              </w:rPr>
              <w:t>级。</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盛泰优</w:t>
            </w:r>
            <w:r>
              <w:rPr>
                <w:rFonts w:ascii="黑体" w:hAnsi="黑体" w:eastAsia="黑体" w:cs="宋体"/>
                <w:kern w:val="0"/>
                <w:sz w:val="18"/>
                <w:szCs w:val="18"/>
              </w:rPr>
              <w:t>018</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110-114</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中熟晚稻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25.9</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4.75</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6</w:t>
            </w:r>
            <w:r>
              <w:rPr>
                <w:rFonts w:hint="eastAsia" w:ascii="黑体" w:hAnsi="黑体" w:eastAsia="黑体" w:cs="宋体"/>
                <w:kern w:val="0"/>
                <w:sz w:val="18"/>
                <w:szCs w:val="18"/>
              </w:rPr>
              <w:t>级。</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隆晶优</w:t>
            </w:r>
            <w:r>
              <w:rPr>
                <w:rFonts w:ascii="黑体" w:hAnsi="黑体" w:eastAsia="黑体" w:cs="宋体"/>
                <w:kern w:val="0"/>
                <w:sz w:val="18"/>
                <w:szCs w:val="18"/>
              </w:rPr>
              <w:t>1</w:t>
            </w:r>
            <w:r>
              <w:rPr>
                <w:rFonts w:hint="eastAsia" w:ascii="黑体" w:hAnsi="黑体" w:eastAsia="黑体" w:cs="宋体"/>
                <w:kern w:val="0"/>
                <w:sz w:val="18"/>
                <w:szCs w:val="18"/>
              </w:rPr>
              <w:t>号</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121.5</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迟熟晚稻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28.2</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3.1</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7</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耐低温力较强。</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隆晶优</w:t>
            </w:r>
            <w:r>
              <w:rPr>
                <w:rFonts w:ascii="黑体" w:hAnsi="黑体" w:eastAsia="黑体" w:cs="宋体"/>
                <w:kern w:val="0"/>
                <w:sz w:val="18"/>
                <w:szCs w:val="18"/>
              </w:rPr>
              <w:t>2</w:t>
            </w:r>
            <w:r>
              <w:rPr>
                <w:rFonts w:hint="eastAsia" w:ascii="黑体" w:hAnsi="黑体" w:eastAsia="黑体" w:cs="宋体"/>
                <w:kern w:val="0"/>
                <w:sz w:val="18"/>
                <w:szCs w:val="18"/>
              </w:rPr>
              <w:t>号</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120</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迟熟晚稻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28.8</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3.5</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7</w:t>
            </w:r>
            <w:r>
              <w:rPr>
                <w:rFonts w:hint="eastAsia" w:ascii="黑体" w:hAnsi="黑体" w:eastAsia="黑体" w:cs="宋体"/>
                <w:kern w:val="0"/>
                <w:sz w:val="18"/>
                <w:szCs w:val="18"/>
              </w:rPr>
              <w:t>级。</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鹏优</w:t>
            </w:r>
            <w:r>
              <w:rPr>
                <w:rFonts w:ascii="黑体" w:hAnsi="黑体" w:eastAsia="黑体" w:cs="宋体"/>
                <w:kern w:val="0"/>
                <w:sz w:val="18"/>
                <w:szCs w:val="18"/>
              </w:rPr>
              <w:t>6377</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119</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迟熟晚稻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26.0</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3.2</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5</w:t>
            </w:r>
            <w:r>
              <w:rPr>
                <w:rFonts w:hint="eastAsia" w:ascii="黑体" w:hAnsi="黑体" w:eastAsia="黑体" w:cs="宋体"/>
                <w:kern w:val="0"/>
                <w:sz w:val="18"/>
                <w:szCs w:val="18"/>
              </w:rPr>
              <w:t>级；</w:t>
            </w:r>
            <w:r>
              <w:rPr>
                <w:rFonts w:ascii="黑体" w:hAnsi="黑体" w:eastAsia="黑体" w:cs="宋体"/>
                <w:b/>
                <w:bCs/>
                <w:kern w:val="0"/>
                <w:sz w:val="18"/>
                <w:szCs w:val="18"/>
              </w:rPr>
              <w:t>3.</w:t>
            </w:r>
            <w:r>
              <w:rPr>
                <w:rFonts w:hint="eastAsia" w:ascii="黑体" w:hAnsi="黑体" w:eastAsia="黑体" w:cs="宋体"/>
                <w:kern w:val="0"/>
                <w:sz w:val="18"/>
                <w:szCs w:val="18"/>
              </w:rPr>
              <w:t>稻曲病</w:t>
            </w:r>
            <w:r>
              <w:rPr>
                <w:rFonts w:ascii="黑体" w:hAnsi="黑体" w:eastAsia="黑体" w:cs="宋体"/>
                <w:kern w:val="0"/>
                <w:sz w:val="18"/>
                <w:szCs w:val="18"/>
              </w:rPr>
              <w:t>6</w:t>
            </w:r>
            <w:r>
              <w:rPr>
                <w:rFonts w:hint="eastAsia" w:ascii="黑体" w:hAnsi="黑体" w:eastAsia="黑体" w:cs="宋体"/>
                <w:kern w:val="0"/>
                <w:sz w:val="18"/>
                <w:szCs w:val="18"/>
              </w:rPr>
              <w:t>级。</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454" w:hRule="atLeast"/>
          <w:jc w:val="center"/>
        </w:trPr>
        <w:tc>
          <w:tcPr>
            <w:tcW w:w="365" w:type="dxa"/>
            <w:vMerge w:val="continue"/>
            <w:vAlign w:val="center"/>
          </w:tcPr>
          <w:p>
            <w:pPr>
              <w:widowControl/>
              <w:spacing w:line="180" w:lineRule="exact"/>
              <w:jc w:val="left"/>
              <w:rPr>
                <w:rFonts w:ascii="黑体" w:hAnsi="黑体" w:eastAsia="黑体" w:cs="宋体"/>
                <w:kern w:val="0"/>
                <w:sz w:val="18"/>
                <w:szCs w:val="18"/>
              </w:rPr>
            </w:pPr>
          </w:p>
        </w:tc>
        <w:tc>
          <w:tcPr>
            <w:tcW w:w="1035"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和丰优</w:t>
            </w:r>
            <w:r>
              <w:rPr>
                <w:rFonts w:ascii="黑体" w:hAnsi="黑体" w:eastAsia="黑体" w:cs="宋体"/>
                <w:kern w:val="0"/>
                <w:sz w:val="18"/>
                <w:szCs w:val="18"/>
              </w:rPr>
              <w:t>6377</w:t>
            </w:r>
          </w:p>
        </w:tc>
        <w:tc>
          <w:tcPr>
            <w:tcW w:w="674"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113</w:t>
            </w:r>
          </w:p>
        </w:tc>
        <w:tc>
          <w:tcPr>
            <w:tcW w:w="948"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中熟晚稻</w:t>
            </w:r>
          </w:p>
        </w:tc>
        <w:tc>
          <w:tcPr>
            <w:tcW w:w="514" w:type="dxa"/>
            <w:vAlign w:val="center"/>
          </w:tcPr>
          <w:p>
            <w:pPr>
              <w:widowControl/>
              <w:spacing w:line="180" w:lineRule="exact"/>
              <w:jc w:val="center"/>
              <w:rPr>
                <w:rFonts w:ascii="黑体" w:hAnsi="黑体" w:eastAsia="黑体" w:cs="宋体"/>
                <w:kern w:val="0"/>
                <w:sz w:val="18"/>
                <w:szCs w:val="18"/>
              </w:rPr>
            </w:pPr>
            <w:r>
              <w:rPr>
                <w:rFonts w:hint="eastAsia" w:ascii="黑体" w:hAnsi="黑体" w:eastAsia="黑体" w:cs="宋体"/>
                <w:kern w:val="0"/>
                <w:sz w:val="18"/>
                <w:szCs w:val="18"/>
              </w:rPr>
              <w:t>二等</w:t>
            </w:r>
          </w:p>
        </w:tc>
        <w:tc>
          <w:tcPr>
            <w:tcW w:w="683" w:type="dxa"/>
            <w:vAlign w:val="center"/>
          </w:tcPr>
          <w:p>
            <w:pPr>
              <w:widowControl/>
              <w:spacing w:line="180" w:lineRule="exact"/>
              <w:jc w:val="center"/>
              <w:rPr>
                <w:rFonts w:ascii="黑体" w:hAnsi="黑体" w:eastAsia="黑体" w:cs="宋体"/>
                <w:kern w:val="0"/>
                <w:sz w:val="18"/>
                <w:szCs w:val="18"/>
              </w:rPr>
            </w:pPr>
            <w:r>
              <w:rPr>
                <w:rFonts w:ascii="黑体" w:hAnsi="黑体" w:eastAsia="黑体" w:cs="宋体"/>
                <w:kern w:val="0"/>
                <w:sz w:val="18"/>
                <w:szCs w:val="18"/>
              </w:rPr>
              <w:t>27.2</w:t>
            </w:r>
          </w:p>
        </w:tc>
        <w:tc>
          <w:tcPr>
            <w:tcW w:w="4316" w:type="dxa"/>
            <w:vAlign w:val="center"/>
          </w:tcPr>
          <w:p>
            <w:pPr>
              <w:widowControl/>
              <w:spacing w:line="180" w:lineRule="exact"/>
              <w:jc w:val="left"/>
              <w:rPr>
                <w:rFonts w:ascii="黑体" w:hAnsi="黑体" w:eastAsia="黑体" w:cs="宋体"/>
                <w:b/>
                <w:bCs/>
                <w:kern w:val="0"/>
                <w:sz w:val="18"/>
                <w:szCs w:val="18"/>
              </w:rPr>
            </w:pPr>
            <w:r>
              <w:rPr>
                <w:rFonts w:ascii="黑体" w:hAnsi="黑体" w:eastAsia="黑体" w:cs="宋体"/>
                <w:b/>
                <w:bCs/>
                <w:kern w:val="0"/>
                <w:sz w:val="18"/>
                <w:szCs w:val="18"/>
              </w:rPr>
              <w:t>1.</w:t>
            </w:r>
            <w:r>
              <w:rPr>
                <w:rFonts w:hint="eastAsia" w:ascii="黑体" w:hAnsi="黑体" w:eastAsia="黑体" w:cs="宋体"/>
                <w:kern w:val="0"/>
                <w:sz w:val="18"/>
                <w:szCs w:val="18"/>
              </w:rPr>
              <w:t>稻瘟病综合抗性指数</w:t>
            </w:r>
            <w:r>
              <w:rPr>
                <w:rFonts w:ascii="黑体" w:hAnsi="黑体" w:eastAsia="黑体" w:cs="宋体"/>
                <w:kern w:val="0"/>
                <w:sz w:val="18"/>
                <w:szCs w:val="18"/>
              </w:rPr>
              <w:t>4.2</w:t>
            </w:r>
            <w:r>
              <w:rPr>
                <w:rFonts w:hint="eastAsia" w:ascii="黑体" w:hAnsi="黑体" w:eastAsia="黑体" w:cs="宋体"/>
                <w:kern w:val="0"/>
                <w:sz w:val="18"/>
                <w:szCs w:val="18"/>
              </w:rPr>
              <w:t>；</w:t>
            </w:r>
            <w:r>
              <w:rPr>
                <w:rFonts w:ascii="黑体" w:hAnsi="黑体" w:eastAsia="黑体" w:cs="宋体"/>
                <w:b/>
                <w:bCs/>
                <w:kern w:val="0"/>
                <w:sz w:val="18"/>
                <w:szCs w:val="18"/>
              </w:rPr>
              <w:t>2.</w:t>
            </w:r>
            <w:r>
              <w:rPr>
                <w:rFonts w:hint="eastAsia" w:ascii="黑体" w:hAnsi="黑体" w:eastAsia="黑体" w:cs="宋体"/>
                <w:kern w:val="0"/>
                <w:sz w:val="18"/>
                <w:szCs w:val="18"/>
              </w:rPr>
              <w:t>白叶枯病</w:t>
            </w:r>
            <w:r>
              <w:rPr>
                <w:rFonts w:ascii="黑体" w:hAnsi="黑体" w:eastAsia="黑体" w:cs="宋体"/>
                <w:kern w:val="0"/>
                <w:sz w:val="18"/>
                <w:szCs w:val="18"/>
              </w:rPr>
              <w:t>5</w:t>
            </w:r>
            <w:r>
              <w:rPr>
                <w:rFonts w:hint="eastAsia" w:ascii="黑体" w:hAnsi="黑体" w:eastAsia="黑体" w:cs="宋体"/>
                <w:kern w:val="0"/>
                <w:sz w:val="18"/>
                <w:szCs w:val="18"/>
              </w:rPr>
              <w:t>级。</w:t>
            </w:r>
          </w:p>
        </w:tc>
        <w:tc>
          <w:tcPr>
            <w:tcW w:w="848" w:type="dxa"/>
            <w:vMerge w:val="continue"/>
            <w:vAlign w:val="center"/>
          </w:tcPr>
          <w:p>
            <w:pPr>
              <w:widowControl/>
              <w:spacing w:line="180" w:lineRule="exact"/>
              <w:jc w:val="left"/>
              <w:rPr>
                <w:rFonts w:ascii="黑体" w:hAnsi="黑体" w:eastAsia="黑体" w:cs="宋体"/>
                <w:b/>
                <w:bCs/>
                <w:kern w:val="0"/>
                <w:sz w:val="15"/>
                <w:szCs w:val="15"/>
              </w:rPr>
            </w:pPr>
          </w:p>
        </w:tc>
      </w:tr>
    </w:tbl>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57216" behindDoc="1" locked="0" layoutInCell="1" allowOverlap="1">
            <wp:simplePos x="0" y="0"/>
            <wp:positionH relativeFrom="column">
              <wp:posOffset>-763905</wp:posOffset>
            </wp:positionH>
            <wp:positionV relativeFrom="paragraph">
              <wp:posOffset>85725</wp:posOffset>
            </wp:positionV>
            <wp:extent cx="6867525" cy="3857625"/>
            <wp:effectExtent l="0" t="0" r="9525" b="9525"/>
            <wp:wrapNone/>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20"/>
                    <a:stretch>
                      <a:fillRect/>
                    </a:stretch>
                  </pic:blipFill>
                  <pic:spPr>
                    <a:xfrm>
                      <a:off x="0" y="0"/>
                      <a:ext cx="6867525" cy="3857625"/>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60288" behindDoc="1" locked="0" layoutInCell="1" allowOverlap="1">
            <wp:simplePos x="0" y="0"/>
            <wp:positionH relativeFrom="column">
              <wp:posOffset>3998595</wp:posOffset>
            </wp:positionH>
            <wp:positionV relativeFrom="paragraph">
              <wp:posOffset>248285</wp:posOffset>
            </wp:positionV>
            <wp:extent cx="2190750" cy="1228725"/>
            <wp:effectExtent l="0" t="0" r="0" b="9525"/>
            <wp:wrapNone/>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21"/>
                    <a:stretch>
                      <a:fillRect/>
                    </a:stretch>
                  </pic:blipFill>
                  <pic:spPr>
                    <a:xfrm>
                      <a:off x="0" y="0"/>
                      <a:ext cx="2190750" cy="1228725"/>
                    </a:xfrm>
                    <a:prstGeom prst="rect">
                      <a:avLst/>
                    </a:prstGeom>
                    <a:noFill/>
                    <a:ln w="9525">
                      <a:noFill/>
                    </a:ln>
                  </pic:spPr>
                </pic:pic>
              </a:graphicData>
            </a:graphic>
          </wp:anchor>
        </w:drawing>
      </w:r>
      <w:r>
        <w:drawing>
          <wp:anchor distT="0" distB="0" distL="114300" distR="114300" simplePos="0" relativeHeight="251659264" behindDoc="1" locked="0" layoutInCell="1" allowOverlap="1">
            <wp:simplePos x="0" y="0"/>
            <wp:positionH relativeFrom="column">
              <wp:posOffset>1760220</wp:posOffset>
            </wp:positionH>
            <wp:positionV relativeFrom="paragraph">
              <wp:posOffset>286385</wp:posOffset>
            </wp:positionV>
            <wp:extent cx="2133600" cy="1200150"/>
            <wp:effectExtent l="0" t="0" r="0" b="0"/>
            <wp:wrapNone/>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22"/>
                    <a:stretch>
                      <a:fillRect/>
                    </a:stretch>
                  </pic:blipFill>
                  <pic:spPr>
                    <a:xfrm>
                      <a:off x="0" y="0"/>
                      <a:ext cx="2133600" cy="1200150"/>
                    </a:xfrm>
                    <a:prstGeom prst="rect">
                      <a:avLst/>
                    </a:prstGeom>
                    <a:noFill/>
                    <a:ln w="9525">
                      <a:noFill/>
                    </a:ln>
                  </pic:spPr>
                </pic:pic>
              </a:graphicData>
            </a:graphic>
          </wp:anchor>
        </w:drawing>
      </w:r>
      <w:r>
        <w:drawing>
          <wp:anchor distT="0" distB="0" distL="114300" distR="114300" simplePos="0" relativeHeight="251658240" behindDoc="1" locked="0" layoutInCell="1" allowOverlap="1">
            <wp:simplePos x="0" y="0"/>
            <wp:positionH relativeFrom="column">
              <wp:posOffset>-754380</wp:posOffset>
            </wp:positionH>
            <wp:positionV relativeFrom="paragraph">
              <wp:posOffset>286385</wp:posOffset>
            </wp:positionV>
            <wp:extent cx="2408555" cy="1200150"/>
            <wp:effectExtent l="0" t="0" r="10795" b="0"/>
            <wp:wrapNone/>
            <wp:docPr id="1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pic:cNvPicPr>
                      <a:picLocks noChangeAspect="1"/>
                    </pic:cNvPicPr>
                  </pic:nvPicPr>
                  <pic:blipFill>
                    <a:blip r:embed="rId23"/>
                    <a:srcRect b="7285"/>
                    <a:stretch>
                      <a:fillRect/>
                    </a:stretch>
                  </pic:blipFill>
                  <pic:spPr>
                    <a:xfrm>
                      <a:off x="0" y="0"/>
                      <a:ext cx="2408555" cy="120015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pStyle w:val="2"/>
        <w:spacing w:before="0" w:after="0" w:line="240" w:lineRule="exact"/>
        <w:jc w:val="both"/>
        <w:rPr>
          <w:rFonts w:hint="eastAsia" w:ascii="宋体" w:hAnsi="宋体"/>
          <w:kern w:val="0"/>
          <w:sz w:val="18"/>
          <w:szCs w:val="18"/>
        </w:rPr>
      </w:pPr>
    </w:p>
    <w:p>
      <w:pPr>
        <w:pStyle w:val="2"/>
        <w:spacing w:before="0" w:after="0" w:line="240" w:lineRule="exact"/>
        <w:jc w:val="center"/>
        <w:rPr>
          <w:rFonts w:ascii="宋体"/>
          <w:kern w:val="0"/>
          <w:sz w:val="21"/>
          <w:szCs w:val="21"/>
        </w:rPr>
      </w:pPr>
      <w:r>
        <w:rPr>
          <w:rFonts w:hint="eastAsia" w:ascii="宋体" w:hAnsi="宋体"/>
          <w:kern w:val="0"/>
          <w:sz w:val="21"/>
          <w:szCs w:val="21"/>
        </w:rPr>
        <w:t>稻</w:t>
      </w:r>
      <w:r>
        <w:rPr>
          <w:rFonts w:ascii="宋体"/>
          <w:kern w:val="0"/>
          <w:sz w:val="21"/>
          <w:szCs w:val="21"/>
        </w:rPr>
        <w:t>-</w:t>
      </w:r>
      <w:r>
        <w:rPr>
          <w:rFonts w:hint="eastAsia" w:ascii="宋体" w:hAnsi="宋体"/>
          <w:kern w:val="0"/>
          <w:sz w:val="21"/>
          <w:szCs w:val="21"/>
        </w:rPr>
        <w:t>虾综合种养技术要点</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宋体" w:cs="宋体"/>
          <w:b/>
          <w:kern w:val="0"/>
          <w:sz w:val="21"/>
          <w:szCs w:val="21"/>
        </w:rPr>
      </w:pPr>
      <w:r>
        <w:rPr>
          <w:rFonts w:hint="eastAsia" w:ascii="宋体" w:hAnsi="宋体" w:cs="宋体"/>
          <w:b/>
          <w:kern w:val="0"/>
          <w:sz w:val="21"/>
          <w:szCs w:val="21"/>
        </w:rPr>
        <w:t>一、</w:t>
      </w:r>
      <w:r>
        <w:rPr>
          <w:rFonts w:ascii="宋体" w:hAnsi="宋体" w:cs="宋体"/>
          <w:b/>
          <w:kern w:val="0"/>
          <w:sz w:val="21"/>
          <w:szCs w:val="21"/>
        </w:rPr>
        <w:t xml:space="preserve"> </w:t>
      </w:r>
      <w:r>
        <w:rPr>
          <w:rFonts w:hint="eastAsia" w:ascii="宋体" w:hAnsi="宋体" w:cs="宋体"/>
          <w:b/>
          <w:kern w:val="0"/>
          <w:sz w:val="21"/>
          <w:szCs w:val="21"/>
        </w:rPr>
        <w:t>稻田开沟</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80"/>
        <w:jc w:val="left"/>
        <w:textAlignment w:val="auto"/>
        <w:outlineLvl w:val="9"/>
        <w:rPr>
          <w:rFonts w:ascii="宋体" w:cs="宋体"/>
          <w:kern w:val="0"/>
          <w:sz w:val="21"/>
          <w:szCs w:val="21"/>
        </w:rPr>
      </w:pPr>
      <w:r>
        <w:rPr>
          <w:rFonts w:hint="eastAsia" w:ascii="宋体" w:hAnsi="宋体" w:cs="宋体"/>
          <w:kern w:val="0"/>
          <w:sz w:val="21"/>
          <w:szCs w:val="21"/>
        </w:rPr>
        <w:t>任何面积大小的稻田均可养殖，面积</w:t>
      </w:r>
      <w:r>
        <w:rPr>
          <w:rFonts w:ascii="宋体" w:hAnsi="宋体" w:cs="宋体"/>
          <w:kern w:val="0"/>
          <w:sz w:val="21"/>
          <w:szCs w:val="21"/>
        </w:rPr>
        <w:t>10</w:t>
      </w:r>
      <w:r>
        <w:rPr>
          <w:rFonts w:hint="eastAsia" w:ascii="宋体" w:hAnsi="宋体" w:cs="宋体"/>
          <w:kern w:val="0"/>
          <w:sz w:val="21"/>
          <w:szCs w:val="21"/>
        </w:rPr>
        <w:t>亩以上的开好围沟，沿四周开挖宽</w:t>
      </w:r>
      <w:r>
        <w:rPr>
          <w:rFonts w:ascii="宋体" w:hAnsi="宋体" w:cs="宋体"/>
          <w:kern w:val="0"/>
          <w:sz w:val="21"/>
          <w:szCs w:val="21"/>
        </w:rPr>
        <w:t>3</w:t>
      </w:r>
      <w:r>
        <w:rPr>
          <w:rFonts w:hint="eastAsia" w:ascii="宋体" w:hAnsi="宋体" w:cs="宋体"/>
          <w:kern w:val="0"/>
          <w:sz w:val="21"/>
          <w:szCs w:val="21"/>
        </w:rPr>
        <w:t>米、深</w:t>
      </w:r>
      <w:r>
        <w:rPr>
          <w:rFonts w:ascii="宋体" w:hAnsi="宋体" w:cs="宋体"/>
          <w:kern w:val="0"/>
          <w:sz w:val="21"/>
          <w:szCs w:val="21"/>
        </w:rPr>
        <w:t>1.0</w:t>
      </w:r>
      <w:r>
        <w:rPr>
          <w:rFonts w:hint="eastAsia" w:ascii="宋体" w:hAnsi="宋体" w:cs="宋体"/>
          <w:kern w:val="0"/>
          <w:sz w:val="21"/>
          <w:szCs w:val="21"/>
        </w:rPr>
        <w:t>米的环形沟；稻田面积较小时在稻田一边开沟，或开成曲尺形沟。</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宋体" w:cs="宋体"/>
          <w:b/>
          <w:kern w:val="0"/>
          <w:sz w:val="21"/>
          <w:szCs w:val="21"/>
        </w:rPr>
      </w:pPr>
      <w:r>
        <w:rPr>
          <w:rFonts w:hint="eastAsia" w:ascii="宋体" w:hAnsi="宋体" w:cs="宋体"/>
          <w:b/>
          <w:kern w:val="0"/>
          <w:sz w:val="21"/>
          <w:szCs w:val="21"/>
        </w:rPr>
        <w:t>二、</w:t>
      </w:r>
      <w:r>
        <w:rPr>
          <w:rFonts w:ascii="宋体" w:hAnsi="宋体" w:cs="宋体"/>
          <w:b/>
          <w:kern w:val="0"/>
          <w:sz w:val="21"/>
          <w:szCs w:val="21"/>
        </w:rPr>
        <w:t xml:space="preserve"> </w:t>
      </w:r>
      <w:r>
        <w:rPr>
          <w:rFonts w:hint="eastAsia" w:ascii="宋体" w:hAnsi="宋体" w:cs="宋体"/>
          <w:b/>
          <w:kern w:val="0"/>
          <w:sz w:val="21"/>
          <w:szCs w:val="21"/>
        </w:rPr>
        <w:t>防逃设施</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jc w:val="left"/>
        <w:textAlignment w:val="auto"/>
        <w:outlineLvl w:val="9"/>
        <w:rPr>
          <w:rFonts w:ascii="宋体" w:cs="宋体"/>
          <w:kern w:val="0"/>
          <w:sz w:val="21"/>
          <w:szCs w:val="21"/>
        </w:rPr>
      </w:pPr>
      <w:r>
        <w:rPr>
          <w:rFonts w:hint="eastAsia" w:ascii="宋体" w:hAnsi="宋体" w:cs="宋体"/>
          <w:kern w:val="0"/>
          <w:sz w:val="21"/>
          <w:szCs w:val="21"/>
        </w:rPr>
        <w:t>稻田田埂四周防逃用薄膜、铁皮板等材料建成，基部入土</w:t>
      </w:r>
      <w:r>
        <w:rPr>
          <w:rFonts w:ascii="宋体" w:hAnsi="宋体" w:cs="宋体"/>
          <w:kern w:val="0"/>
          <w:sz w:val="21"/>
          <w:szCs w:val="21"/>
        </w:rPr>
        <w:t>10cm</w:t>
      </w:r>
      <w:r>
        <w:rPr>
          <w:rFonts w:hint="eastAsia" w:ascii="宋体" w:hAnsi="宋体" w:cs="宋体"/>
          <w:kern w:val="0"/>
          <w:sz w:val="21"/>
          <w:szCs w:val="21"/>
        </w:rPr>
        <w:t>，埂面上高</w:t>
      </w:r>
      <w:r>
        <w:rPr>
          <w:rFonts w:ascii="宋体" w:hAnsi="宋体" w:cs="宋体"/>
          <w:kern w:val="0"/>
          <w:sz w:val="21"/>
          <w:szCs w:val="21"/>
        </w:rPr>
        <w:t>30cm</w:t>
      </w:r>
      <w:r>
        <w:rPr>
          <w:rFonts w:hint="eastAsia" w:ascii="宋体" w:hAnsi="宋体" w:cs="宋体"/>
          <w:kern w:val="0"/>
          <w:sz w:val="21"/>
          <w:szCs w:val="21"/>
        </w:rPr>
        <w:t>，进排水口用</w:t>
      </w:r>
      <w:r>
        <w:rPr>
          <w:rFonts w:ascii="宋体" w:hAnsi="宋体" w:cs="宋体"/>
          <w:kern w:val="0"/>
          <w:sz w:val="21"/>
          <w:szCs w:val="21"/>
        </w:rPr>
        <w:t>60-80</w:t>
      </w:r>
      <w:r>
        <w:rPr>
          <w:rFonts w:hint="eastAsia" w:ascii="宋体" w:hAnsi="宋体" w:cs="宋体"/>
          <w:kern w:val="0"/>
          <w:sz w:val="21"/>
          <w:szCs w:val="21"/>
        </w:rPr>
        <w:t>目的聚乙烯网布做成防逃设施。</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宋体" w:cs="宋体"/>
          <w:b/>
          <w:kern w:val="0"/>
          <w:sz w:val="21"/>
          <w:szCs w:val="21"/>
        </w:rPr>
      </w:pPr>
      <w:r>
        <w:rPr>
          <w:rFonts w:hint="eastAsia" w:ascii="宋体" w:hAnsi="宋体" w:cs="宋体"/>
          <w:b/>
          <w:kern w:val="0"/>
          <w:sz w:val="21"/>
          <w:szCs w:val="21"/>
        </w:rPr>
        <w:t>三、</w:t>
      </w:r>
      <w:r>
        <w:rPr>
          <w:rFonts w:ascii="宋体" w:hAnsi="宋体" w:cs="宋体"/>
          <w:b/>
          <w:kern w:val="0"/>
          <w:sz w:val="21"/>
          <w:szCs w:val="21"/>
        </w:rPr>
        <w:t xml:space="preserve"> </w:t>
      </w:r>
      <w:r>
        <w:rPr>
          <w:rFonts w:hint="eastAsia" w:ascii="宋体" w:hAnsi="宋体" w:cs="宋体"/>
          <w:b/>
          <w:kern w:val="0"/>
          <w:sz w:val="21"/>
          <w:szCs w:val="21"/>
        </w:rPr>
        <w:t>稻田消毒</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jc w:val="left"/>
        <w:textAlignment w:val="auto"/>
        <w:outlineLvl w:val="9"/>
        <w:rPr>
          <w:rFonts w:ascii="宋体" w:cs="宋体"/>
          <w:kern w:val="0"/>
          <w:sz w:val="21"/>
          <w:szCs w:val="21"/>
        </w:rPr>
      </w:pPr>
      <w:r>
        <w:rPr>
          <w:rFonts w:hint="eastAsia"/>
          <w:sz w:val="21"/>
          <w:szCs w:val="21"/>
        </w:rPr>
        <w:t>消毒药物使用生石灰、漂白粉、茶粕等，严禁使用合成农药，</w:t>
      </w:r>
      <w:r>
        <w:rPr>
          <w:rFonts w:hint="eastAsia" w:ascii="宋体" w:hAnsi="宋体" w:cs="宋体"/>
          <w:kern w:val="0"/>
          <w:sz w:val="21"/>
          <w:szCs w:val="21"/>
        </w:rPr>
        <w:t>对鱼类清除使用茶枯消毒，每亩</w:t>
      </w:r>
      <w:r>
        <w:rPr>
          <w:rFonts w:ascii="宋体" w:hAnsi="宋体" w:cs="宋体"/>
          <w:kern w:val="0"/>
          <w:sz w:val="21"/>
          <w:szCs w:val="21"/>
        </w:rPr>
        <w:t>30-50</w:t>
      </w:r>
      <w:r>
        <w:rPr>
          <w:rFonts w:hint="eastAsia" w:ascii="宋体" w:hAnsi="宋体" w:cs="宋体"/>
          <w:kern w:val="0"/>
          <w:sz w:val="21"/>
          <w:szCs w:val="21"/>
        </w:rPr>
        <w:t>斤。</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宋体" w:cs="宋体"/>
          <w:b/>
          <w:kern w:val="0"/>
          <w:sz w:val="21"/>
          <w:szCs w:val="21"/>
        </w:rPr>
      </w:pPr>
      <w:r>
        <w:rPr>
          <w:rFonts w:hint="eastAsia" w:ascii="宋体" w:hAnsi="宋体" w:cs="宋体"/>
          <w:b/>
          <w:kern w:val="0"/>
          <w:sz w:val="21"/>
          <w:szCs w:val="21"/>
        </w:rPr>
        <w:t>四、水草种植</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宋体" w:cs="宋体"/>
          <w:kern w:val="0"/>
          <w:sz w:val="21"/>
          <w:szCs w:val="21"/>
        </w:rPr>
      </w:pPr>
      <w:r>
        <w:rPr>
          <w:rFonts w:ascii="宋体" w:hAnsi="宋体" w:cs="宋体"/>
          <w:kern w:val="0"/>
          <w:sz w:val="21"/>
          <w:szCs w:val="21"/>
        </w:rPr>
        <w:t xml:space="preserve">    </w:t>
      </w:r>
      <w:r>
        <w:rPr>
          <w:rFonts w:hint="eastAsia" w:ascii="宋体" w:hAnsi="宋体" w:cs="宋体"/>
          <w:kern w:val="0"/>
          <w:sz w:val="21"/>
          <w:szCs w:val="21"/>
        </w:rPr>
        <w:t>适宜种植品种有轮叶黑藻、苦草和伊乐藻等，采取播种移裁，种植面积占水面的</w:t>
      </w:r>
      <w:r>
        <w:rPr>
          <w:rFonts w:ascii="宋体" w:hAnsi="宋体" w:cs="宋体"/>
          <w:kern w:val="0"/>
          <w:sz w:val="21"/>
          <w:szCs w:val="21"/>
        </w:rPr>
        <w:t>1/10-1/5</w:t>
      </w:r>
      <w:r>
        <w:rPr>
          <w:rFonts w:hint="eastAsia" w:ascii="宋体" w:hAnsi="宋体" w:cs="宋体"/>
          <w:kern w:val="0"/>
          <w:sz w:val="21"/>
          <w:szCs w:val="21"/>
        </w:rPr>
        <w:t>，</w:t>
      </w:r>
      <w:r>
        <w:rPr>
          <w:rFonts w:ascii="宋体" w:hAnsi="宋体" w:cs="宋体"/>
          <w:kern w:val="0"/>
          <w:sz w:val="21"/>
          <w:szCs w:val="21"/>
        </w:rPr>
        <w:t>4-6</w:t>
      </w:r>
      <w:r>
        <w:rPr>
          <w:rFonts w:hint="eastAsia" w:ascii="宋体" w:hAnsi="宋体" w:cs="宋体"/>
          <w:kern w:val="0"/>
          <w:sz w:val="21"/>
          <w:szCs w:val="21"/>
        </w:rPr>
        <w:t>月份，控制水草长出水面，水草发展面积不能超过水面的</w:t>
      </w:r>
      <w:r>
        <w:rPr>
          <w:rFonts w:ascii="宋体" w:hAnsi="宋体" w:cs="宋体"/>
          <w:kern w:val="0"/>
          <w:sz w:val="21"/>
          <w:szCs w:val="21"/>
        </w:rPr>
        <w:t>2/3</w:t>
      </w:r>
      <w:r>
        <w:rPr>
          <w:rFonts w:hint="eastAsia" w:ascii="宋体" w:hAnsi="宋体" w:cs="宋体"/>
          <w:kern w:val="0"/>
          <w:sz w:val="21"/>
          <w:szCs w:val="21"/>
        </w:rPr>
        <w:t>。</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黑体" w:hAnsi="宋体" w:cs="宋体"/>
          <w:b/>
          <w:kern w:val="0"/>
          <w:sz w:val="21"/>
          <w:szCs w:val="21"/>
        </w:rPr>
      </w:pPr>
      <w:r>
        <w:rPr>
          <w:rFonts w:hint="eastAsia" w:ascii="黑体" w:hAnsi="宋体" w:cs="宋体"/>
          <w:b/>
          <w:kern w:val="0"/>
          <w:sz w:val="21"/>
          <w:szCs w:val="21"/>
        </w:rPr>
        <w:t>五、</w:t>
      </w:r>
      <w:r>
        <w:rPr>
          <w:rFonts w:ascii="黑体" w:hAnsi="宋体" w:cs="宋体"/>
          <w:b/>
          <w:kern w:val="0"/>
          <w:sz w:val="21"/>
          <w:szCs w:val="21"/>
        </w:rPr>
        <w:t xml:space="preserve"> </w:t>
      </w:r>
      <w:r>
        <w:rPr>
          <w:rFonts w:hint="eastAsia" w:ascii="黑体" w:hAnsi="宋体" w:cs="宋体"/>
          <w:b/>
          <w:kern w:val="0"/>
          <w:sz w:val="21"/>
          <w:szCs w:val="21"/>
        </w:rPr>
        <w:t>放养虾种</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jc w:val="left"/>
        <w:textAlignment w:val="auto"/>
        <w:outlineLvl w:val="9"/>
        <w:rPr>
          <w:rFonts w:ascii="宋体" w:cs="宋体"/>
          <w:kern w:val="0"/>
          <w:sz w:val="21"/>
          <w:szCs w:val="21"/>
        </w:rPr>
      </w:pPr>
      <w:r>
        <w:rPr>
          <w:rFonts w:ascii="宋体" w:hAnsi="宋体" w:cs="宋体"/>
          <w:kern w:val="0"/>
          <w:sz w:val="21"/>
          <w:szCs w:val="21"/>
        </w:rPr>
        <w:t>1cm</w:t>
      </w:r>
      <w:r>
        <w:rPr>
          <w:rFonts w:hint="eastAsia" w:ascii="宋体" w:hAnsi="宋体" w:cs="宋体"/>
          <w:kern w:val="0"/>
          <w:sz w:val="21"/>
          <w:szCs w:val="21"/>
        </w:rPr>
        <w:t>规格的虾用氧气袋运输，运输时间不超过</w:t>
      </w:r>
      <w:r>
        <w:rPr>
          <w:rFonts w:ascii="宋体" w:hAnsi="宋体" w:cs="宋体"/>
          <w:kern w:val="0"/>
          <w:sz w:val="21"/>
          <w:szCs w:val="21"/>
        </w:rPr>
        <w:t>24</w:t>
      </w:r>
      <w:r>
        <w:rPr>
          <w:rFonts w:hint="eastAsia" w:ascii="宋体" w:hAnsi="宋体" w:cs="宋体"/>
          <w:kern w:val="0"/>
          <w:sz w:val="21"/>
          <w:szCs w:val="21"/>
        </w:rPr>
        <w:t>小时；</w:t>
      </w:r>
      <w:r>
        <w:rPr>
          <w:rFonts w:ascii="宋体" w:hAnsi="宋体" w:cs="宋体"/>
          <w:kern w:val="0"/>
          <w:sz w:val="21"/>
          <w:szCs w:val="21"/>
        </w:rPr>
        <w:t>3cm</w:t>
      </w:r>
      <w:r>
        <w:rPr>
          <w:rFonts w:hint="eastAsia" w:ascii="宋体" w:hAnsi="宋体" w:cs="宋体"/>
          <w:kern w:val="0"/>
          <w:sz w:val="21"/>
          <w:szCs w:val="21"/>
        </w:rPr>
        <w:t>以上的虾用小塑料框湿法运输，每箱装运不超过</w:t>
      </w:r>
      <w:r>
        <w:rPr>
          <w:rFonts w:ascii="宋体" w:hAnsi="宋体" w:cs="宋体"/>
          <w:kern w:val="0"/>
          <w:sz w:val="21"/>
          <w:szCs w:val="21"/>
        </w:rPr>
        <w:t>5</w:t>
      </w:r>
      <w:r>
        <w:rPr>
          <w:rFonts w:hint="eastAsia" w:ascii="宋体" w:hAnsi="宋体" w:cs="宋体"/>
          <w:kern w:val="0"/>
          <w:sz w:val="21"/>
          <w:szCs w:val="21"/>
        </w:rPr>
        <w:t>公斤，运输时间不超过</w:t>
      </w:r>
      <w:r>
        <w:rPr>
          <w:rFonts w:ascii="宋体" w:hAnsi="宋体" w:cs="宋体"/>
          <w:kern w:val="0"/>
          <w:sz w:val="21"/>
          <w:szCs w:val="21"/>
        </w:rPr>
        <w:t>2</w:t>
      </w:r>
      <w:r>
        <w:rPr>
          <w:rFonts w:hint="eastAsia" w:ascii="宋体" w:hAnsi="宋体" w:cs="宋体"/>
          <w:kern w:val="0"/>
          <w:sz w:val="21"/>
          <w:szCs w:val="21"/>
        </w:rPr>
        <w:t>小时。</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210" w:firstLineChars="100"/>
        <w:jc w:val="left"/>
        <w:textAlignment w:val="auto"/>
        <w:outlineLvl w:val="9"/>
        <w:rPr>
          <w:rFonts w:ascii="宋体" w:cs="宋体"/>
          <w:kern w:val="0"/>
          <w:sz w:val="21"/>
          <w:szCs w:val="21"/>
        </w:rPr>
      </w:pPr>
      <w:r>
        <w:rPr>
          <w:rFonts w:ascii="宋体" w:hAnsi="宋体" w:cs="宋体"/>
          <w:kern w:val="0"/>
          <w:sz w:val="21"/>
          <w:szCs w:val="21"/>
        </w:rPr>
        <w:t xml:space="preserve"> </w:t>
      </w:r>
      <w:r>
        <w:rPr>
          <w:rFonts w:hint="eastAsia" w:ascii="宋体" w:hAnsi="宋体" w:cs="宋体"/>
          <w:kern w:val="0"/>
          <w:sz w:val="21"/>
          <w:szCs w:val="21"/>
        </w:rPr>
        <w:t>放养时间以</w:t>
      </w:r>
      <w:r>
        <w:rPr>
          <w:rFonts w:ascii="宋体" w:hAnsi="宋体" w:cs="宋体"/>
          <w:kern w:val="0"/>
          <w:sz w:val="21"/>
          <w:szCs w:val="21"/>
        </w:rPr>
        <w:t>3</w:t>
      </w:r>
      <w:r>
        <w:rPr>
          <w:rFonts w:hint="eastAsia" w:ascii="宋体" w:hAnsi="宋体" w:cs="宋体"/>
          <w:kern w:val="0"/>
          <w:sz w:val="21"/>
          <w:szCs w:val="21"/>
        </w:rPr>
        <w:t>月</w:t>
      </w:r>
      <w:r>
        <w:rPr>
          <w:rFonts w:ascii="宋体" w:hAnsi="宋体" w:cs="宋体"/>
          <w:kern w:val="0"/>
          <w:sz w:val="21"/>
          <w:szCs w:val="21"/>
        </w:rPr>
        <w:t>-5</w:t>
      </w:r>
      <w:r>
        <w:rPr>
          <w:rFonts w:hint="eastAsia" w:ascii="宋体" w:hAnsi="宋体" w:cs="宋体"/>
          <w:kern w:val="0"/>
          <w:sz w:val="21"/>
          <w:szCs w:val="21"/>
        </w:rPr>
        <w:t>月为宜，</w:t>
      </w:r>
      <w:r>
        <w:rPr>
          <w:rFonts w:ascii="宋体" w:hAnsi="宋体" w:cs="宋体"/>
          <w:kern w:val="0"/>
          <w:sz w:val="21"/>
          <w:szCs w:val="21"/>
        </w:rPr>
        <w:t>6</w:t>
      </w:r>
      <w:r>
        <w:rPr>
          <w:rFonts w:hint="eastAsia" w:ascii="宋体" w:hAnsi="宋体" w:cs="宋体"/>
          <w:kern w:val="0"/>
          <w:sz w:val="21"/>
          <w:szCs w:val="21"/>
        </w:rPr>
        <w:t>月一般不放虾，</w:t>
      </w:r>
      <w:r>
        <w:rPr>
          <w:rFonts w:ascii="宋体" w:hAnsi="宋体" w:cs="宋体"/>
          <w:kern w:val="0"/>
          <w:sz w:val="21"/>
          <w:szCs w:val="21"/>
        </w:rPr>
        <w:t xml:space="preserve">7 </w:t>
      </w:r>
      <w:r>
        <w:rPr>
          <w:rFonts w:hint="eastAsia" w:ascii="宋体" w:hAnsi="宋体" w:cs="宋体"/>
          <w:kern w:val="0"/>
          <w:sz w:val="21"/>
          <w:szCs w:val="21"/>
        </w:rPr>
        <w:t>月每亩投放种虾</w:t>
      </w:r>
      <w:r>
        <w:rPr>
          <w:rFonts w:ascii="宋体" w:hAnsi="宋体" w:cs="宋体"/>
          <w:kern w:val="0"/>
          <w:sz w:val="21"/>
          <w:szCs w:val="21"/>
        </w:rPr>
        <w:t>5-6kg(</w:t>
      </w:r>
      <w:r>
        <w:rPr>
          <w:rFonts w:hint="eastAsia" w:ascii="宋体" w:hAnsi="宋体" w:cs="宋体"/>
          <w:kern w:val="0"/>
          <w:sz w:val="21"/>
          <w:szCs w:val="21"/>
        </w:rPr>
        <w:t>已有虾的稻田</w:t>
      </w:r>
      <w:r>
        <w:rPr>
          <w:rFonts w:ascii="宋体" w:hAnsi="宋体" w:cs="宋体"/>
          <w:kern w:val="0"/>
          <w:sz w:val="21"/>
          <w:szCs w:val="21"/>
        </w:rPr>
        <w:t>)</w:t>
      </w:r>
      <w:r>
        <w:rPr>
          <w:rFonts w:hint="eastAsia" w:ascii="宋体" w:hAnsi="宋体" w:cs="宋体"/>
          <w:kern w:val="0"/>
          <w:sz w:val="21"/>
          <w:szCs w:val="21"/>
        </w:rPr>
        <w:t>，雌雄比例</w:t>
      </w:r>
      <w:r>
        <w:rPr>
          <w:rFonts w:ascii="宋体" w:hAnsi="宋体" w:cs="宋体"/>
          <w:kern w:val="0"/>
          <w:sz w:val="21"/>
          <w:szCs w:val="21"/>
        </w:rPr>
        <w:t>2:1</w:t>
      </w:r>
      <w:r>
        <w:rPr>
          <w:rFonts w:hint="eastAsia" w:ascii="宋体" w:hAnsi="宋体" w:cs="宋体"/>
          <w:kern w:val="0"/>
          <w:sz w:val="21"/>
          <w:szCs w:val="21"/>
        </w:rPr>
        <w:t>；</w:t>
      </w:r>
      <w:r>
        <w:rPr>
          <w:rFonts w:ascii="宋体" w:hAnsi="宋体" w:cs="宋体"/>
          <w:kern w:val="0"/>
          <w:sz w:val="21"/>
          <w:szCs w:val="21"/>
        </w:rPr>
        <w:t>8</w:t>
      </w:r>
      <w:r>
        <w:rPr>
          <w:rFonts w:hint="eastAsia" w:ascii="宋体" w:hAnsi="宋体" w:cs="宋体"/>
          <w:kern w:val="0"/>
          <w:sz w:val="21"/>
          <w:szCs w:val="21"/>
        </w:rPr>
        <w:t>月</w:t>
      </w:r>
      <w:r>
        <w:rPr>
          <w:rFonts w:ascii="宋体" w:hAnsi="宋体" w:cs="宋体"/>
          <w:kern w:val="0"/>
          <w:sz w:val="21"/>
          <w:szCs w:val="21"/>
        </w:rPr>
        <w:t>-10</w:t>
      </w:r>
      <w:r>
        <w:rPr>
          <w:rFonts w:hint="eastAsia" w:ascii="宋体" w:hAnsi="宋体" w:cs="宋体"/>
          <w:kern w:val="0"/>
          <w:sz w:val="21"/>
          <w:szCs w:val="21"/>
        </w:rPr>
        <w:t>月，每亩放养雌种虾</w:t>
      </w:r>
      <w:r>
        <w:rPr>
          <w:rFonts w:ascii="宋体" w:hAnsi="宋体" w:cs="宋体"/>
          <w:kern w:val="0"/>
          <w:sz w:val="21"/>
          <w:szCs w:val="21"/>
        </w:rPr>
        <w:t>5-10kg</w:t>
      </w:r>
      <w:r>
        <w:rPr>
          <w:rFonts w:hint="eastAsia" w:ascii="宋体" w:hAnsi="宋体" w:cs="宋体"/>
          <w:kern w:val="0"/>
          <w:sz w:val="21"/>
          <w:szCs w:val="21"/>
        </w:rPr>
        <w:t>。虾种下田前，稻田水质应当用嫩水型生物酶培养</w:t>
      </w:r>
      <w:r>
        <w:rPr>
          <w:rFonts w:ascii="宋体" w:hAnsi="宋体" w:cs="宋体"/>
          <w:kern w:val="0"/>
          <w:sz w:val="21"/>
          <w:szCs w:val="21"/>
        </w:rPr>
        <w:t>3</w:t>
      </w:r>
      <w:r>
        <w:rPr>
          <w:rFonts w:hint="eastAsia" w:ascii="宋体" w:hAnsi="宋体" w:cs="宋体"/>
          <w:kern w:val="0"/>
          <w:sz w:val="21"/>
          <w:szCs w:val="21"/>
        </w:rPr>
        <w:t>天以上。</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黑体" w:hAnsi="宋体" w:cs="宋体"/>
          <w:b/>
          <w:kern w:val="0"/>
          <w:sz w:val="21"/>
          <w:szCs w:val="21"/>
        </w:rPr>
      </w:pPr>
      <w:r>
        <w:rPr>
          <w:rFonts w:hint="eastAsia" w:ascii="黑体" w:hAnsi="宋体" w:cs="宋体"/>
          <w:b/>
          <w:kern w:val="0"/>
          <w:sz w:val="21"/>
          <w:szCs w:val="21"/>
        </w:rPr>
        <w:t>六、</w:t>
      </w:r>
      <w:r>
        <w:rPr>
          <w:rFonts w:ascii="黑体" w:hAnsi="宋体" w:cs="宋体"/>
          <w:b/>
          <w:kern w:val="0"/>
          <w:sz w:val="21"/>
          <w:szCs w:val="21"/>
        </w:rPr>
        <w:t xml:space="preserve"> </w:t>
      </w:r>
      <w:r>
        <w:rPr>
          <w:rFonts w:hint="eastAsia" w:ascii="黑体" w:hAnsi="宋体" w:cs="宋体"/>
          <w:b/>
          <w:kern w:val="0"/>
          <w:sz w:val="21"/>
          <w:szCs w:val="21"/>
        </w:rPr>
        <w:t>饲料投喂</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jc w:val="left"/>
        <w:textAlignment w:val="auto"/>
        <w:outlineLvl w:val="9"/>
        <w:rPr>
          <w:rFonts w:ascii="宋体" w:cs="宋体"/>
          <w:kern w:val="0"/>
          <w:sz w:val="21"/>
          <w:szCs w:val="21"/>
        </w:rPr>
      </w:pPr>
      <w:r>
        <w:rPr>
          <w:rFonts w:hint="eastAsia" w:ascii="宋体" w:hAnsi="宋体" w:cs="宋体"/>
          <w:kern w:val="0"/>
          <w:sz w:val="21"/>
          <w:szCs w:val="21"/>
        </w:rPr>
        <w:t>稻田养虾一般用小麦、豆粕、黄豆、小杂鱼等喂养，在苗期冬季温度回升时可少量使用配方饲料。</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黑体" w:hAnsi="宋体" w:cs="宋体"/>
          <w:b/>
          <w:kern w:val="0"/>
          <w:sz w:val="21"/>
          <w:szCs w:val="21"/>
        </w:rPr>
      </w:pPr>
      <w:r>
        <w:rPr>
          <w:rFonts w:hint="eastAsia" w:ascii="黑体" w:hAnsi="宋体" w:cs="宋体"/>
          <w:b/>
          <w:kern w:val="0"/>
          <w:sz w:val="21"/>
          <w:szCs w:val="21"/>
        </w:rPr>
        <w:t>七、日常管理</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315" w:firstLineChars="150"/>
        <w:jc w:val="left"/>
        <w:textAlignment w:val="auto"/>
        <w:outlineLvl w:val="9"/>
        <w:rPr>
          <w:rFonts w:ascii="宋体" w:cs="宋体"/>
          <w:kern w:val="0"/>
          <w:sz w:val="21"/>
          <w:szCs w:val="21"/>
        </w:rPr>
      </w:pPr>
      <w:r>
        <w:rPr>
          <w:rFonts w:ascii="宋体" w:hAnsi="宋体" w:cs="宋体"/>
          <w:kern w:val="0"/>
          <w:sz w:val="21"/>
          <w:szCs w:val="21"/>
        </w:rPr>
        <w:t xml:space="preserve">7.1 </w:t>
      </w:r>
      <w:r>
        <w:rPr>
          <w:rFonts w:hint="eastAsia" w:ascii="宋体" w:hAnsi="宋体" w:cs="宋体"/>
          <w:kern w:val="0"/>
          <w:sz w:val="21"/>
          <w:szCs w:val="21"/>
        </w:rPr>
        <w:t>水位调控，</w:t>
      </w:r>
      <w:r>
        <w:rPr>
          <w:rFonts w:ascii="宋体" w:hAnsi="宋体" w:cs="宋体"/>
          <w:kern w:val="0"/>
          <w:sz w:val="21"/>
          <w:szCs w:val="21"/>
        </w:rPr>
        <w:t>4-6</w:t>
      </w:r>
      <w:r>
        <w:rPr>
          <w:rFonts w:hint="eastAsia" w:ascii="宋体" w:hAnsi="宋体" w:cs="宋体"/>
          <w:kern w:val="0"/>
          <w:sz w:val="21"/>
          <w:szCs w:val="21"/>
        </w:rPr>
        <w:t>月间，沟内水深宜在</w:t>
      </w:r>
      <w:r>
        <w:rPr>
          <w:rFonts w:ascii="宋体" w:hAnsi="宋体" w:cs="宋体"/>
          <w:kern w:val="0"/>
          <w:sz w:val="21"/>
          <w:szCs w:val="21"/>
        </w:rPr>
        <w:t>1.2-1.5m</w:t>
      </w:r>
      <w:r>
        <w:rPr>
          <w:rFonts w:hint="eastAsia" w:ascii="宋体" w:hAnsi="宋体" w:cs="宋体"/>
          <w:kern w:val="0"/>
          <w:sz w:val="21"/>
          <w:szCs w:val="21"/>
        </w:rPr>
        <w:t>，</w:t>
      </w:r>
      <w:r>
        <w:rPr>
          <w:rFonts w:ascii="宋体" w:hAnsi="宋体" w:cs="宋体"/>
          <w:kern w:val="0"/>
          <w:sz w:val="21"/>
          <w:szCs w:val="21"/>
        </w:rPr>
        <w:t>6</w:t>
      </w:r>
      <w:r>
        <w:rPr>
          <w:rFonts w:hint="eastAsia" w:ascii="宋体" w:hAnsi="宋体" w:cs="宋体"/>
          <w:kern w:val="0"/>
          <w:sz w:val="21"/>
          <w:szCs w:val="21"/>
        </w:rPr>
        <w:t>月开始降低水位种植水稻</w:t>
      </w:r>
      <w:r>
        <w:rPr>
          <w:rFonts w:ascii="宋体" w:hAnsi="宋体" w:cs="宋体"/>
          <w:kern w:val="0"/>
          <w:sz w:val="21"/>
          <w:szCs w:val="21"/>
        </w:rPr>
        <w:t>,10</w:t>
      </w:r>
      <w:r>
        <w:rPr>
          <w:rFonts w:hint="eastAsia" w:ascii="宋体" w:hAnsi="宋体" w:cs="宋体"/>
          <w:kern w:val="0"/>
          <w:sz w:val="21"/>
          <w:szCs w:val="21"/>
        </w:rPr>
        <w:t>月份水稻收割后</w:t>
      </w:r>
      <w:r>
        <w:rPr>
          <w:rFonts w:hint="eastAsia"/>
          <w:sz w:val="21"/>
          <w:szCs w:val="21"/>
        </w:rPr>
        <w:t>，灌水并保持田间水深</w:t>
      </w:r>
      <w:r>
        <w:rPr>
          <w:sz w:val="21"/>
          <w:szCs w:val="21"/>
        </w:rPr>
        <w:t>30cm</w:t>
      </w:r>
      <w:r>
        <w:rPr>
          <w:rFonts w:hint="eastAsia"/>
          <w:sz w:val="21"/>
          <w:szCs w:val="21"/>
        </w:rPr>
        <w:t>－</w:t>
      </w:r>
      <w:r>
        <w:rPr>
          <w:sz w:val="21"/>
          <w:szCs w:val="21"/>
        </w:rPr>
        <w:t>50cm</w:t>
      </w:r>
      <w:r>
        <w:rPr>
          <w:rFonts w:hint="eastAsia"/>
          <w:sz w:val="21"/>
          <w:szCs w:val="21"/>
        </w:rPr>
        <w:t>，隨着气温的下降，逐渐增加水位至</w:t>
      </w:r>
      <w:r>
        <w:rPr>
          <w:sz w:val="21"/>
          <w:szCs w:val="21"/>
        </w:rPr>
        <w:t>40cm</w:t>
      </w:r>
      <w:r>
        <w:rPr>
          <w:rFonts w:hint="eastAsia"/>
          <w:sz w:val="21"/>
          <w:szCs w:val="21"/>
        </w:rPr>
        <w:t>－</w:t>
      </w:r>
      <w:r>
        <w:rPr>
          <w:sz w:val="21"/>
          <w:szCs w:val="21"/>
        </w:rPr>
        <w:t>60cm</w:t>
      </w:r>
      <w:r>
        <w:rPr>
          <w:rFonts w:hint="eastAsia"/>
          <w:sz w:val="21"/>
          <w:szCs w:val="21"/>
        </w:rPr>
        <w:t>，至翌年</w:t>
      </w:r>
      <w:r>
        <w:rPr>
          <w:sz w:val="21"/>
          <w:szCs w:val="21"/>
        </w:rPr>
        <w:t>3</w:t>
      </w:r>
      <w:r>
        <w:rPr>
          <w:rFonts w:hint="eastAsia"/>
          <w:sz w:val="21"/>
          <w:szCs w:val="21"/>
        </w:rPr>
        <w:t>月通过调节水的深浅來调剂水温。</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宋体" w:cs="宋体"/>
          <w:kern w:val="0"/>
          <w:sz w:val="21"/>
          <w:szCs w:val="21"/>
        </w:rPr>
      </w:pPr>
      <w:r>
        <w:rPr>
          <w:rFonts w:ascii="宋体" w:hAnsi="宋体" w:cs="宋体"/>
          <w:kern w:val="0"/>
          <w:sz w:val="21"/>
          <w:szCs w:val="21"/>
        </w:rPr>
        <w:t xml:space="preserve">   7.2  </w:t>
      </w:r>
      <w:r>
        <w:rPr>
          <w:rFonts w:hint="eastAsia" w:ascii="宋体" w:hAnsi="宋体" w:cs="宋体"/>
          <w:kern w:val="0"/>
          <w:sz w:val="21"/>
          <w:szCs w:val="21"/>
        </w:rPr>
        <w:t>水质控制，收割后灌水时，要</w:t>
      </w:r>
      <w:r>
        <w:rPr>
          <w:rFonts w:hint="eastAsia" w:ascii="宋体" w:hAnsi="宋体" w:cs="宋体"/>
          <w:color w:val="000000"/>
          <w:kern w:val="0"/>
          <w:sz w:val="21"/>
          <w:szCs w:val="21"/>
        </w:rPr>
        <w:t>同时施入嫩水型生物酶，每亩</w:t>
      </w:r>
      <w:r>
        <w:rPr>
          <w:rFonts w:ascii="宋体" w:hAnsi="宋体" w:cs="宋体"/>
          <w:color w:val="000000"/>
          <w:kern w:val="0"/>
          <w:sz w:val="21"/>
          <w:szCs w:val="21"/>
        </w:rPr>
        <w:t>500ml</w:t>
      </w:r>
      <w:r>
        <w:rPr>
          <w:rFonts w:hint="eastAsia" w:ascii="宋体" w:hAnsi="宋体" w:cs="宋体"/>
          <w:color w:val="000000"/>
          <w:kern w:val="0"/>
          <w:sz w:val="21"/>
          <w:szCs w:val="21"/>
        </w:rPr>
        <w:t>，之后每隔</w:t>
      </w:r>
      <w:r>
        <w:rPr>
          <w:rFonts w:ascii="宋体" w:hAnsi="宋体" w:cs="宋体"/>
          <w:color w:val="000000"/>
          <w:kern w:val="0"/>
          <w:sz w:val="21"/>
          <w:szCs w:val="21"/>
        </w:rPr>
        <w:t>15</w:t>
      </w:r>
      <w:r>
        <w:rPr>
          <w:rFonts w:hint="eastAsia" w:ascii="宋体" w:hAnsi="宋体" w:cs="宋体"/>
          <w:color w:val="000000"/>
          <w:kern w:val="0"/>
          <w:sz w:val="21"/>
          <w:szCs w:val="21"/>
        </w:rPr>
        <w:t>天，泼洒一次嫩水型生物酶，</w:t>
      </w:r>
      <w:r>
        <w:rPr>
          <w:rFonts w:hint="eastAsia" w:ascii="宋体" w:hAnsi="宋体" w:cs="宋体"/>
          <w:kern w:val="0"/>
          <w:sz w:val="21"/>
          <w:szCs w:val="21"/>
        </w:rPr>
        <w:t>发现水质变黑或青苔生长时，加大</w:t>
      </w:r>
      <w:r>
        <w:rPr>
          <w:rFonts w:hint="eastAsia" w:ascii="宋体" w:hAnsi="宋体" w:cs="宋体"/>
          <w:color w:val="000000"/>
          <w:kern w:val="0"/>
          <w:sz w:val="21"/>
          <w:szCs w:val="21"/>
        </w:rPr>
        <w:t>嫩水型</w:t>
      </w:r>
      <w:r>
        <w:rPr>
          <w:rFonts w:hint="eastAsia" w:ascii="宋体" w:hAnsi="宋体" w:cs="宋体"/>
          <w:kern w:val="0"/>
          <w:sz w:val="21"/>
          <w:szCs w:val="21"/>
        </w:rPr>
        <w:t>生物酶用量</w:t>
      </w:r>
      <w:r>
        <w:rPr>
          <w:rFonts w:ascii="宋体" w:hAnsi="宋体" w:cs="宋体"/>
          <w:kern w:val="0"/>
          <w:sz w:val="21"/>
          <w:szCs w:val="21"/>
        </w:rPr>
        <w:t>0.5-1</w:t>
      </w:r>
      <w:r>
        <w:rPr>
          <w:rFonts w:hint="eastAsia" w:ascii="宋体" w:hAnsi="宋体" w:cs="宋体"/>
          <w:kern w:val="0"/>
          <w:sz w:val="21"/>
          <w:szCs w:val="21"/>
        </w:rPr>
        <w:t>倍，使用生物酶时禁止用溴氯海因、二氧化氯、漂白粉等消毒制剂及硫酸铜、</w:t>
      </w:r>
      <w:r>
        <w:rPr>
          <w:rFonts w:hint="eastAsia" w:ascii="Arial" w:hAnsi="Arial" w:cs="Arial"/>
          <w:color w:val="333333"/>
          <w:sz w:val="21"/>
          <w:szCs w:val="21"/>
          <w:shd w:val="clear" w:color="auto" w:fill="FFFFFF"/>
        </w:rPr>
        <w:t>氯硝柳胺</w:t>
      </w:r>
      <w:r>
        <w:rPr>
          <w:rFonts w:hint="eastAsia" w:ascii="宋体" w:hAnsi="宋体" w:cs="宋体"/>
          <w:kern w:val="0"/>
          <w:sz w:val="21"/>
          <w:szCs w:val="21"/>
        </w:rPr>
        <w:t>。</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黑体" w:hAnsi="宋体" w:cs="宋体"/>
          <w:b/>
          <w:kern w:val="0"/>
          <w:sz w:val="21"/>
          <w:szCs w:val="21"/>
        </w:rPr>
      </w:pPr>
      <w:r>
        <w:rPr>
          <w:rFonts w:hint="eastAsia" w:ascii="黑体" w:hAnsi="宋体" w:cs="宋体"/>
          <w:b/>
          <w:kern w:val="0"/>
          <w:sz w:val="21"/>
          <w:szCs w:val="21"/>
        </w:rPr>
        <w:t>八、起捕</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80"/>
        <w:jc w:val="left"/>
        <w:textAlignment w:val="auto"/>
        <w:outlineLvl w:val="9"/>
        <w:rPr>
          <w:rFonts w:ascii="宋体" w:cs="宋体"/>
          <w:kern w:val="0"/>
          <w:sz w:val="21"/>
          <w:szCs w:val="21"/>
        </w:rPr>
      </w:pPr>
      <w:r>
        <w:rPr>
          <w:rFonts w:hint="eastAsia" w:ascii="宋体" w:hAnsi="宋体" w:cs="宋体"/>
          <w:kern w:val="0"/>
          <w:sz w:val="21"/>
          <w:szCs w:val="21"/>
        </w:rPr>
        <w:t>起捕时虾的规格大小由地笼尾部囊兜控制，</w:t>
      </w:r>
      <w:r>
        <w:rPr>
          <w:rFonts w:ascii="宋体" w:hAnsi="宋体" w:cs="宋体"/>
          <w:kern w:val="0"/>
          <w:sz w:val="21"/>
          <w:szCs w:val="21"/>
        </w:rPr>
        <w:t>3-4</w:t>
      </w:r>
      <w:r>
        <w:rPr>
          <w:rFonts w:hint="eastAsia" w:ascii="宋体" w:hAnsi="宋体" w:cs="宋体"/>
          <w:kern w:val="0"/>
          <w:sz w:val="21"/>
          <w:szCs w:val="21"/>
        </w:rPr>
        <w:t>月份，可捕大留下，</w:t>
      </w:r>
      <w:r>
        <w:rPr>
          <w:rFonts w:ascii="宋体" w:hAnsi="宋体" w:cs="宋体"/>
          <w:kern w:val="0"/>
          <w:sz w:val="21"/>
          <w:szCs w:val="21"/>
        </w:rPr>
        <w:t>5-6</w:t>
      </w:r>
      <w:r>
        <w:rPr>
          <w:rFonts w:hint="eastAsia" w:ascii="宋体" w:hAnsi="宋体" w:cs="宋体"/>
          <w:kern w:val="0"/>
          <w:sz w:val="21"/>
          <w:szCs w:val="21"/>
        </w:rPr>
        <w:t>月份，凡属进了地笼而不能自己钻出去的龙虾，全部上市。</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jc w:val="left"/>
        <w:textAlignment w:val="auto"/>
        <w:outlineLvl w:val="9"/>
        <w:rPr>
          <w:rFonts w:ascii="黑体" w:hAnsi="宋体" w:cs="宋体"/>
          <w:b/>
          <w:kern w:val="0"/>
          <w:sz w:val="21"/>
          <w:szCs w:val="21"/>
        </w:rPr>
      </w:pPr>
      <w:r>
        <w:rPr>
          <w:rFonts w:hint="eastAsia" w:ascii="黑体" w:hAnsi="宋体" w:cs="宋体"/>
          <w:b/>
          <w:kern w:val="0"/>
          <w:sz w:val="21"/>
          <w:szCs w:val="21"/>
        </w:rPr>
        <w:t>九、水稻种植</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315" w:firstLineChars="150"/>
        <w:jc w:val="left"/>
        <w:textAlignment w:val="auto"/>
        <w:outlineLvl w:val="9"/>
        <w:rPr>
          <w:rFonts w:ascii="宋体" w:cs="宋体"/>
          <w:kern w:val="0"/>
          <w:sz w:val="21"/>
          <w:szCs w:val="21"/>
        </w:rPr>
      </w:pPr>
      <w:r>
        <w:rPr>
          <w:rFonts w:hint="eastAsia" w:ascii="宋体" w:hAnsi="宋体" w:cs="宋体"/>
          <w:kern w:val="0"/>
          <w:sz w:val="21"/>
          <w:szCs w:val="21"/>
        </w:rPr>
        <w:t>宜选择抗病虫害、抗倒伏、耐肥性强的优质高产品种，如桃优香占、泰优</w:t>
      </w:r>
      <w:r>
        <w:rPr>
          <w:rFonts w:ascii="宋体" w:hAnsi="宋体" w:cs="宋体"/>
          <w:kern w:val="0"/>
          <w:sz w:val="21"/>
          <w:szCs w:val="21"/>
        </w:rPr>
        <w:t>390</w:t>
      </w:r>
      <w:r>
        <w:rPr>
          <w:rFonts w:hint="eastAsia" w:ascii="宋体" w:hAnsi="宋体" w:cs="宋体"/>
          <w:kern w:val="0"/>
          <w:sz w:val="21"/>
          <w:szCs w:val="21"/>
        </w:rPr>
        <w:t>等品种，采用硬盘育秧机插的，于</w:t>
      </w:r>
      <w:r>
        <w:rPr>
          <w:rFonts w:ascii="宋体" w:hAnsi="宋体" w:cs="宋体"/>
          <w:kern w:val="0"/>
          <w:sz w:val="21"/>
          <w:szCs w:val="21"/>
        </w:rPr>
        <w:t>7</w:t>
      </w:r>
      <w:r>
        <w:rPr>
          <w:rFonts w:hint="eastAsia" w:ascii="宋体" w:hAnsi="宋体" w:cs="宋体"/>
          <w:kern w:val="0"/>
          <w:sz w:val="21"/>
          <w:szCs w:val="21"/>
        </w:rPr>
        <w:t>月</w:t>
      </w:r>
      <w:r>
        <w:rPr>
          <w:rFonts w:ascii="宋体" w:hAnsi="宋体" w:cs="宋体"/>
          <w:kern w:val="0"/>
          <w:sz w:val="21"/>
          <w:szCs w:val="21"/>
        </w:rPr>
        <w:t>10</w:t>
      </w:r>
      <w:r>
        <w:rPr>
          <w:rFonts w:hint="eastAsia" w:ascii="宋体" w:hAnsi="宋体" w:cs="宋体"/>
          <w:kern w:val="0"/>
          <w:sz w:val="21"/>
          <w:szCs w:val="21"/>
        </w:rPr>
        <w:t>日前插完，采用大田直播的，于</w:t>
      </w:r>
      <w:r>
        <w:rPr>
          <w:rFonts w:ascii="宋体" w:hAnsi="宋体" w:cs="宋体"/>
          <w:kern w:val="0"/>
          <w:sz w:val="21"/>
          <w:szCs w:val="21"/>
        </w:rPr>
        <w:t>6</w:t>
      </w:r>
      <w:r>
        <w:rPr>
          <w:rFonts w:hint="eastAsia" w:ascii="宋体" w:hAnsi="宋体" w:cs="宋体"/>
          <w:kern w:val="0"/>
          <w:sz w:val="21"/>
          <w:szCs w:val="21"/>
        </w:rPr>
        <w:t>月</w:t>
      </w:r>
      <w:r>
        <w:rPr>
          <w:rFonts w:ascii="宋体" w:hAnsi="宋体" w:cs="宋体"/>
          <w:kern w:val="0"/>
          <w:sz w:val="21"/>
          <w:szCs w:val="21"/>
        </w:rPr>
        <w:t>10-20</w:t>
      </w:r>
      <w:r>
        <w:rPr>
          <w:rFonts w:hint="eastAsia" w:ascii="宋体" w:hAnsi="宋体" w:cs="宋体"/>
          <w:kern w:val="0"/>
          <w:sz w:val="21"/>
          <w:szCs w:val="21"/>
        </w:rPr>
        <w:t>日内撒播完，</w:t>
      </w:r>
      <w:r>
        <w:rPr>
          <w:rFonts w:ascii="宋体" w:hAnsi="宋体" w:cs="宋体"/>
          <w:kern w:val="0"/>
          <w:sz w:val="21"/>
          <w:szCs w:val="21"/>
        </w:rPr>
        <w:t>10</w:t>
      </w:r>
      <w:r>
        <w:rPr>
          <w:rFonts w:hint="eastAsia" w:ascii="宋体" w:hAnsi="宋体" w:cs="宋体"/>
          <w:kern w:val="0"/>
          <w:sz w:val="21"/>
          <w:szCs w:val="21"/>
        </w:rPr>
        <w:t>月中下旬收获完。</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firstLineChars="200"/>
        <w:jc w:val="left"/>
        <w:textAlignment w:val="auto"/>
        <w:outlineLvl w:val="9"/>
        <w:rPr>
          <w:rFonts w:ascii="宋体" w:cs="宋体"/>
          <w:kern w:val="0"/>
          <w:sz w:val="21"/>
          <w:szCs w:val="21"/>
        </w:rPr>
      </w:pPr>
      <w:r>
        <w:rPr>
          <w:rFonts w:hint="eastAsia" w:ascii="宋体" w:hAnsi="宋体" w:cs="宋体"/>
          <w:kern w:val="0"/>
          <w:sz w:val="21"/>
          <w:szCs w:val="21"/>
        </w:rPr>
        <w:t>当有效分蘖数达到预定要求时，即可排水或自然落干进行晒田，稻虾田耕层深厚、保肥保水能力强，一般需重晒。</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firstLineChars="200"/>
        <w:jc w:val="left"/>
        <w:textAlignment w:val="auto"/>
        <w:outlineLvl w:val="9"/>
        <w:rPr>
          <w:rFonts w:ascii="宋体" w:cs="宋体"/>
          <w:color w:val="000000"/>
          <w:kern w:val="0"/>
          <w:sz w:val="21"/>
          <w:szCs w:val="21"/>
        </w:rPr>
      </w:pPr>
      <w:r>
        <w:rPr>
          <w:rFonts w:hint="eastAsia" w:ascii="黑体" w:hAnsi="宋体" w:cs="宋体"/>
          <w:kern w:val="0"/>
          <w:sz w:val="21"/>
          <w:szCs w:val="21"/>
        </w:rPr>
        <w:t>氨水、</w:t>
      </w:r>
      <w:r>
        <w:rPr>
          <w:rFonts w:hint="eastAsia" w:ascii="宋体" w:hAnsi="宋体" w:cs="宋体"/>
          <w:kern w:val="0"/>
          <w:sz w:val="21"/>
          <w:szCs w:val="21"/>
        </w:rPr>
        <w:t>碳酸氢铵等肥料对虾有害，建议以</w:t>
      </w:r>
      <w:r>
        <w:rPr>
          <w:rFonts w:hint="eastAsia" w:ascii="宋体" w:hAnsi="宋体" w:cs="宋体"/>
          <w:color w:val="000000"/>
          <w:kern w:val="0"/>
          <w:sz w:val="21"/>
          <w:szCs w:val="21"/>
        </w:rPr>
        <w:t>使用复合肥为主，使用了壮苗生物酶的，施肥用量可比平常少</w:t>
      </w:r>
      <w:r>
        <w:rPr>
          <w:rFonts w:ascii="宋体" w:hAnsi="宋体" w:cs="宋体"/>
          <w:color w:val="000000"/>
          <w:kern w:val="0"/>
          <w:sz w:val="21"/>
          <w:szCs w:val="21"/>
        </w:rPr>
        <w:t>20%</w:t>
      </w:r>
      <w:r>
        <w:rPr>
          <w:rFonts w:hint="eastAsia" w:ascii="宋体" w:hAnsi="宋体" w:cs="宋体"/>
          <w:color w:val="000000"/>
          <w:kern w:val="0"/>
          <w:sz w:val="21"/>
          <w:szCs w:val="21"/>
        </w:rPr>
        <w:t>。</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firstLineChars="200"/>
        <w:jc w:val="left"/>
        <w:textAlignment w:val="auto"/>
        <w:outlineLvl w:val="9"/>
        <w:rPr>
          <w:rFonts w:ascii="宋体" w:cs="宋体"/>
          <w:color w:val="000000"/>
          <w:kern w:val="0"/>
          <w:sz w:val="21"/>
          <w:szCs w:val="21"/>
        </w:rPr>
      </w:pPr>
      <w:r>
        <w:rPr>
          <w:rFonts w:hint="eastAsia" w:ascii="宋体" w:hAnsi="宋体" w:cs="宋体"/>
          <w:color w:val="000000"/>
          <w:kern w:val="0"/>
          <w:sz w:val="21"/>
          <w:szCs w:val="21"/>
        </w:rPr>
        <w:t>推广使用植物用壮苗生物酶，在秧苗种植前，按照每亩</w:t>
      </w:r>
      <w:r>
        <w:rPr>
          <w:rFonts w:ascii="宋体" w:hAnsi="宋体" w:cs="宋体"/>
          <w:color w:val="000000"/>
          <w:kern w:val="0"/>
          <w:sz w:val="21"/>
          <w:szCs w:val="21"/>
        </w:rPr>
        <w:t>80ml</w:t>
      </w:r>
      <w:r>
        <w:rPr>
          <w:rFonts w:hint="eastAsia" w:ascii="宋体" w:hAnsi="宋体" w:cs="宋体"/>
          <w:color w:val="000000"/>
          <w:kern w:val="0"/>
          <w:sz w:val="21"/>
          <w:szCs w:val="21"/>
        </w:rPr>
        <w:t>用量施入，分蘖后，叶面喷施一次，壮苞时，叶面再喷施一次。</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420" w:firstLineChars="200"/>
        <w:jc w:val="left"/>
        <w:textAlignment w:val="auto"/>
        <w:outlineLvl w:val="9"/>
        <w:rPr>
          <w:rFonts w:ascii="宋体" w:cs="宋体"/>
          <w:kern w:val="0"/>
          <w:sz w:val="21"/>
          <w:szCs w:val="21"/>
        </w:rPr>
      </w:pPr>
      <w:r>
        <w:rPr>
          <w:rFonts w:hint="eastAsia" w:ascii="宋体" w:hAnsi="宋体" w:cs="宋体"/>
          <w:kern w:val="0"/>
          <w:sz w:val="21"/>
          <w:szCs w:val="21"/>
        </w:rPr>
        <w:t>秧苗三叶一心，每亩用</w:t>
      </w:r>
      <w:r>
        <w:rPr>
          <w:rFonts w:ascii="宋体" w:hAnsi="宋体" w:cs="宋体"/>
          <w:kern w:val="0"/>
          <w:sz w:val="21"/>
          <w:szCs w:val="21"/>
        </w:rPr>
        <w:t>20% </w:t>
      </w:r>
      <w:r>
        <w:rPr>
          <w:rFonts w:hint="eastAsia" w:ascii="宋体" w:hAnsi="宋体" w:cs="宋体"/>
          <w:kern w:val="0"/>
          <w:sz w:val="21"/>
          <w:szCs w:val="21"/>
        </w:rPr>
        <w:t>氰氟草酯</w:t>
      </w:r>
      <w:r>
        <w:rPr>
          <w:rFonts w:ascii="宋体" w:hAnsi="宋体" w:cs="宋体"/>
          <w:kern w:val="0"/>
          <w:sz w:val="21"/>
          <w:szCs w:val="21"/>
        </w:rPr>
        <w:t>100</w:t>
      </w:r>
      <w:r>
        <w:rPr>
          <w:rFonts w:hint="eastAsia" w:ascii="宋体" w:hAnsi="宋体" w:cs="宋体"/>
          <w:kern w:val="0"/>
          <w:sz w:val="21"/>
          <w:szCs w:val="21"/>
        </w:rPr>
        <w:t>克</w:t>
      </w:r>
      <w:r>
        <w:rPr>
          <w:rFonts w:ascii="宋体" w:hAnsi="宋体" w:cs="宋体"/>
          <w:kern w:val="0"/>
          <w:sz w:val="21"/>
          <w:szCs w:val="21"/>
        </w:rPr>
        <w:t>+</w:t>
      </w:r>
      <w:r>
        <w:rPr>
          <w:rFonts w:hint="eastAsia" w:ascii="宋体" w:hAnsi="宋体" w:cs="宋体"/>
          <w:kern w:val="0"/>
          <w:sz w:val="21"/>
          <w:szCs w:val="21"/>
        </w:rPr>
        <w:t>二氯喹啉酸</w:t>
      </w:r>
      <w:r>
        <w:rPr>
          <w:rFonts w:ascii="宋体" w:hAnsi="宋体" w:cs="宋体"/>
          <w:kern w:val="0"/>
          <w:sz w:val="21"/>
          <w:szCs w:val="21"/>
        </w:rPr>
        <w:t>60</w:t>
      </w:r>
      <w:r>
        <w:rPr>
          <w:rFonts w:hint="eastAsia" w:ascii="宋体" w:hAnsi="宋体" w:cs="宋体"/>
          <w:kern w:val="0"/>
          <w:sz w:val="21"/>
          <w:szCs w:val="21"/>
        </w:rPr>
        <w:t>克兑水</w:t>
      </w:r>
      <w:r>
        <w:rPr>
          <w:rFonts w:ascii="宋体" w:hAnsi="宋体" w:cs="宋体"/>
          <w:kern w:val="0"/>
          <w:sz w:val="21"/>
          <w:szCs w:val="21"/>
        </w:rPr>
        <w:t>20</w:t>
      </w:r>
      <w:r>
        <w:rPr>
          <w:rFonts w:hint="eastAsia" w:ascii="宋体" w:hAnsi="宋体" w:cs="宋体"/>
          <w:kern w:val="0"/>
          <w:sz w:val="21"/>
          <w:szCs w:val="21"/>
        </w:rPr>
        <w:t>公斤喷雾进行除草。稻田病虫防治主要是三病三虫（稻瘟病、稻曲病、纹枯病及</w:t>
      </w:r>
      <w:r>
        <w:rPr>
          <w:sz w:val="21"/>
          <w:szCs w:val="21"/>
        </w:rPr>
        <w:fldChar w:fldCharType="begin"/>
      </w:r>
      <w:r>
        <w:rPr>
          <w:sz w:val="21"/>
          <w:szCs w:val="21"/>
        </w:rPr>
        <w:instrText xml:space="preserve"> HYPERLINK "https://www.baidu.com/s?wd=%E8%A4%90%E9%A3%9E%E8%99%B1&amp;tn=44039180_cpr&amp;fenlei=mv6quAkxTZn0IZRqIHckPjm4nH00T1YLPAPhrH9bPHm3mHDkPjnz0ZwV5Hcvrjm3rH6sPfKWUMw85HfYnjn4nH6sgvPsT6KdThsqpZwYTjCEQLGCpyw9Uz4Bmy-bIi4WUvYETgN-TLwGUv3EnWDkrjTknj61n1DzP1TsnW6vPs" \t "_blank" </w:instrText>
      </w:r>
      <w:r>
        <w:rPr>
          <w:sz w:val="21"/>
          <w:szCs w:val="21"/>
        </w:rPr>
        <w:fldChar w:fldCharType="separate"/>
      </w:r>
      <w:r>
        <w:rPr>
          <w:rFonts w:hint="eastAsia" w:ascii="宋体" w:hAnsi="宋体" w:cs="宋体"/>
          <w:kern w:val="0"/>
          <w:sz w:val="21"/>
          <w:szCs w:val="21"/>
        </w:rPr>
        <w:t>稻飞虱</w:t>
      </w:r>
      <w:r>
        <w:rPr>
          <w:rFonts w:hint="eastAsia" w:ascii="宋体" w:hAnsi="宋体" w:cs="宋体"/>
          <w:kern w:val="0"/>
          <w:sz w:val="21"/>
          <w:szCs w:val="21"/>
        </w:rPr>
        <w:fldChar w:fldCharType="end"/>
      </w:r>
      <w:r>
        <w:rPr>
          <w:rFonts w:hint="eastAsia" w:ascii="宋体" w:hAnsi="宋体" w:cs="宋体"/>
          <w:kern w:val="0"/>
          <w:sz w:val="21"/>
          <w:szCs w:val="21"/>
        </w:rPr>
        <w:t>、</w:t>
      </w:r>
      <w:r>
        <w:rPr>
          <w:sz w:val="21"/>
          <w:szCs w:val="21"/>
        </w:rPr>
        <w:fldChar w:fldCharType="begin"/>
      </w:r>
      <w:r>
        <w:rPr>
          <w:sz w:val="21"/>
          <w:szCs w:val="21"/>
        </w:rPr>
        <w:instrText xml:space="preserve"> HYPERLINK "https://www.baidu.com/s?wd=%E4%BA%8C%E5%8C%96%E8%9E%9F&amp;tn=44039180_cpr&amp;fenlei=mv6quAkxTZn0IZRqIHckPjm4nH00T1YLPAPhrH9bPHm3mHDkPjnz0ZwV5Hcvrjm3rH6sPfKWUMw85HfYnjn4nH6sgvPsT6KdThsqpZwYTjCEQLGCpyw9Uz4Bmy-bIi4WUvYETgN-TLwGUv3EnWDkrjTknj61n1DzP1TsnW6vPs" \t "_blank" </w:instrText>
      </w:r>
      <w:r>
        <w:rPr>
          <w:sz w:val="21"/>
          <w:szCs w:val="21"/>
        </w:rPr>
        <w:fldChar w:fldCharType="separate"/>
      </w:r>
      <w:r>
        <w:rPr>
          <w:rFonts w:hint="eastAsia" w:ascii="宋体" w:hAnsi="宋体" w:cs="宋体"/>
          <w:kern w:val="0"/>
          <w:sz w:val="21"/>
          <w:szCs w:val="21"/>
        </w:rPr>
        <w:t>二化螟</w:t>
      </w:r>
      <w:r>
        <w:rPr>
          <w:rFonts w:hint="eastAsia" w:ascii="宋体" w:hAnsi="宋体" w:cs="宋体"/>
          <w:kern w:val="0"/>
          <w:sz w:val="21"/>
          <w:szCs w:val="21"/>
        </w:rPr>
        <w:fldChar w:fldCharType="end"/>
      </w:r>
      <w:r>
        <w:rPr>
          <w:rFonts w:hint="eastAsia" w:ascii="宋体" w:hAnsi="宋体" w:cs="宋体"/>
          <w:kern w:val="0"/>
          <w:sz w:val="21"/>
          <w:szCs w:val="21"/>
        </w:rPr>
        <w:t>、</w:t>
      </w:r>
      <w:r>
        <w:rPr>
          <w:sz w:val="21"/>
          <w:szCs w:val="21"/>
        </w:rPr>
        <w:fldChar w:fldCharType="begin"/>
      </w:r>
      <w:r>
        <w:rPr>
          <w:sz w:val="21"/>
          <w:szCs w:val="21"/>
        </w:rPr>
        <w:instrText xml:space="preserve"> HYPERLINK "https://www.baidu.com/s?wd=%E7%A8%BB%E7%BA%B5%E5%8D%B7%E5%8F%B6%E8%9E%9F&amp;tn=44039180_cpr&amp;fenlei=mv6quAkxTZn0IZRqIHckPjm4nH00T1YLPAPhrH9bPHm3mHDkPjnz0ZwV5Hcvrjm3rH6sPfKWUMw85HfYnjn4nH6sgvPsT6KdThsqpZwYTjCEQLGCpyw9Uz4Bmy-bIi4WUvYETgN-TLwGUv3EnWDkrjTknj61n1DzP1TsnW6vPs" \t "_blank" </w:instrText>
      </w:r>
      <w:r>
        <w:rPr>
          <w:sz w:val="21"/>
          <w:szCs w:val="21"/>
        </w:rPr>
        <w:fldChar w:fldCharType="separate"/>
      </w:r>
      <w:r>
        <w:rPr>
          <w:rFonts w:hint="eastAsia" w:ascii="宋体" w:hAnsi="宋体" w:cs="宋体"/>
          <w:kern w:val="0"/>
          <w:sz w:val="21"/>
          <w:szCs w:val="21"/>
        </w:rPr>
        <w:t>稻纵卷叶螟</w:t>
      </w:r>
      <w:r>
        <w:rPr>
          <w:rFonts w:hint="eastAsia" w:ascii="宋体" w:hAnsi="宋体" w:cs="宋体"/>
          <w:kern w:val="0"/>
          <w:sz w:val="21"/>
          <w:szCs w:val="21"/>
        </w:rPr>
        <w:fldChar w:fldCharType="end"/>
      </w:r>
      <w:r>
        <w:rPr>
          <w:rFonts w:hint="eastAsia" w:ascii="宋体" w:hAnsi="宋体" w:cs="宋体"/>
          <w:kern w:val="0"/>
          <w:sz w:val="21"/>
          <w:szCs w:val="21"/>
        </w:rPr>
        <w:t>），每次发蛾高峰期，用康宽（氯虫苯甲酰胺），每亩</w:t>
      </w:r>
      <w:r>
        <w:rPr>
          <w:rFonts w:ascii="宋体" w:hAnsi="宋体" w:cs="宋体"/>
          <w:kern w:val="0"/>
          <w:sz w:val="21"/>
          <w:szCs w:val="21"/>
        </w:rPr>
        <w:t>3-5</w:t>
      </w:r>
      <w:r>
        <w:rPr>
          <w:rFonts w:hint="eastAsia" w:ascii="宋体" w:hAnsi="宋体" w:cs="宋体"/>
          <w:kern w:val="0"/>
          <w:sz w:val="21"/>
          <w:szCs w:val="21"/>
        </w:rPr>
        <w:t>克＋吡蚜酮</w:t>
      </w:r>
      <w:r>
        <w:rPr>
          <w:rFonts w:ascii="宋体" w:hAnsi="宋体" w:cs="宋体"/>
          <w:kern w:val="0"/>
          <w:sz w:val="21"/>
          <w:szCs w:val="21"/>
        </w:rPr>
        <w:t>10</w:t>
      </w:r>
      <w:r>
        <w:rPr>
          <w:rFonts w:hint="eastAsia" w:ascii="宋体" w:hAnsi="宋体" w:cs="宋体"/>
          <w:kern w:val="0"/>
          <w:sz w:val="21"/>
          <w:szCs w:val="21"/>
        </w:rPr>
        <w:t>克</w:t>
      </w:r>
      <w:r>
        <w:rPr>
          <w:rFonts w:ascii="宋体" w:hAnsi="宋体" w:cs="宋体"/>
          <w:kern w:val="0"/>
          <w:sz w:val="21"/>
          <w:szCs w:val="21"/>
        </w:rPr>
        <w:t>+</w:t>
      </w:r>
      <w:r>
        <w:rPr>
          <w:rFonts w:hint="eastAsia" w:ascii="宋体" w:hAnsi="宋体" w:cs="宋体"/>
          <w:kern w:val="0"/>
          <w:sz w:val="21"/>
          <w:szCs w:val="21"/>
        </w:rPr>
        <w:t>多菌灵</w:t>
      </w:r>
      <w:r>
        <w:rPr>
          <w:rFonts w:ascii="宋体" w:hAnsi="宋体" w:cs="宋体"/>
          <w:kern w:val="0"/>
          <w:sz w:val="21"/>
          <w:szCs w:val="21"/>
        </w:rPr>
        <w:t>20</w:t>
      </w:r>
      <w:r>
        <w:rPr>
          <w:rFonts w:hint="eastAsia" w:ascii="宋体" w:hAnsi="宋体" w:cs="宋体"/>
          <w:kern w:val="0"/>
          <w:sz w:val="21"/>
          <w:szCs w:val="21"/>
        </w:rPr>
        <w:t>克，兑水</w:t>
      </w:r>
      <w:r>
        <w:rPr>
          <w:rFonts w:ascii="宋体" w:hAnsi="宋体" w:cs="宋体"/>
          <w:kern w:val="0"/>
          <w:sz w:val="21"/>
          <w:szCs w:val="21"/>
        </w:rPr>
        <w:t>20</w:t>
      </w:r>
      <w:r>
        <w:rPr>
          <w:rFonts w:hint="eastAsia" w:ascii="宋体" w:hAnsi="宋体" w:cs="宋体"/>
          <w:kern w:val="0"/>
          <w:sz w:val="21"/>
          <w:szCs w:val="21"/>
        </w:rPr>
        <w:t>公斤喷雾。</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315" w:firstLineChars="150"/>
        <w:jc w:val="left"/>
        <w:textAlignment w:val="auto"/>
        <w:outlineLvl w:val="9"/>
        <w:rPr>
          <w:rFonts w:hint="eastAsia" w:ascii="宋体" w:hAnsi="宋体" w:cs="宋体"/>
          <w:kern w:val="0"/>
          <w:sz w:val="21"/>
          <w:szCs w:val="21"/>
        </w:rPr>
      </w:pPr>
      <w:r>
        <w:rPr>
          <w:rFonts w:hint="eastAsia" w:ascii="黑体" w:hAnsi="宋体" w:cs="宋体"/>
          <w:kern w:val="0"/>
          <w:sz w:val="21"/>
          <w:szCs w:val="21"/>
        </w:rPr>
        <w:t>收割</w:t>
      </w:r>
      <w:r>
        <w:rPr>
          <w:rFonts w:hint="eastAsia" w:ascii="宋体" w:hAnsi="宋体" w:cs="宋体"/>
          <w:kern w:val="0"/>
          <w:sz w:val="21"/>
          <w:szCs w:val="21"/>
        </w:rPr>
        <w:t>秸秆留茬高度在</w:t>
      </w:r>
      <w:r>
        <w:rPr>
          <w:rFonts w:ascii="宋体" w:hAnsi="宋体" w:cs="宋体"/>
          <w:kern w:val="0"/>
          <w:sz w:val="21"/>
          <w:szCs w:val="21"/>
        </w:rPr>
        <w:t>20cm</w:t>
      </w:r>
      <w:r>
        <w:rPr>
          <w:rFonts w:hint="eastAsia" w:ascii="宋体" w:hAnsi="宋体" w:cs="宋体"/>
          <w:kern w:val="0"/>
          <w:sz w:val="21"/>
          <w:szCs w:val="21"/>
        </w:rPr>
        <w:t>以内为宜，脱粒后的秸秆直接还田。</w:t>
      </w: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keepNext w:val="0"/>
        <w:keepLines w:val="0"/>
        <w:pageBreakBefore w:val="0"/>
        <w:widowControl/>
        <w:kinsoku/>
        <w:wordWrap/>
        <w:overflowPunct/>
        <w:topLinePunct w:val="0"/>
        <w:autoSpaceDE/>
        <w:autoSpaceDN/>
        <w:bidi w:val="0"/>
        <w:adjustRightInd/>
        <w:snapToGrid/>
        <w:spacing w:line="240" w:lineRule="auto"/>
        <w:ind w:right="0" w:rightChars="0"/>
        <w:jc w:val="left"/>
        <w:textAlignment w:val="auto"/>
        <w:outlineLvl w:val="9"/>
        <w:rPr>
          <w:rFonts w:hint="eastAsia" w:ascii="宋体" w:hAnsi="宋体" w:cs="宋体"/>
          <w:kern w:val="0"/>
          <w:sz w:val="18"/>
          <w:szCs w:val="18"/>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66432" behindDoc="1" locked="0" layoutInCell="1" allowOverlap="1">
            <wp:simplePos x="0" y="0"/>
            <wp:positionH relativeFrom="column">
              <wp:posOffset>-725805</wp:posOffset>
            </wp:positionH>
            <wp:positionV relativeFrom="paragraph">
              <wp:posOffset>-134620</wp:posOffset>
            </wp:positionV>
            <wp:extent cx="6686550" cy="3505200"/>
            <wp:effectExtent l="0" t="0" r="0" b="0"/>
            <wp:wrapNone/>
            <wp:docPr id="2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9"/>
                    <pic:cNvPicPr>
                      <a:picLocks noChangeAspect="1"/>
                    </pic:cNvPicPr>
                  </pic:nvPicPr>
                  <pic:blipFill>
                    <a:blip r:embed="rId24"/>
                    <a:stretch>
                      <a:fillRect/>
                    </a:stretch>
                  </pic:blipFill>
                  <pic:spPr>
                    <a:xfrm>
                      <a:off x="0" y="0"/>
                      <a:ext cx="6686550" cy="350520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67456" behindDoc="1" locked="0" layoutInCell="1" allowOverlap="1">
            <wp:simplePos x="0" y="0"/>
            <wp:positionH relativeFrom="column">
              <wp:posOffset>1560195</wp:posOffset>
            </wp:positionH>
            <wp:positionV relativeFrom="paragraph">
              <wp:posOffset>187325</wp:posOffset>
            </wp:positionV>
            <wp:extent cx="2266950" cy="1428750"/>
            <wp:effectExtent l="0" t="0" r="0" b="0"/>
            <wp:wrapNone/>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25"/>
                    <a:srcRect r="10526"/>
                    <a:stretch>
                      <a:fillRect/>
                    </a:stretch>
                  </pic:blipFill>
                  <pic:spPr>
                    <a:xfrm>
                      <a:off x="0" y="0"/>
                      <a:ext cx="2266950" cy="1428750"/>
                    </a:xfrm>
                    <a:prstGeom prst="rect">
                      <a:avLst/>
                    </a:prstGeom>
                    <a:noFill/>
                    <a:ln w="9525">
                      <a:noFill/>
                    </a:ln>
                  </pic:spPr>
                </pic:pic>
              </a:graphicData>
            </a:graphic>
          </wp:anchor>
        </w:drawing>
      </w:r>
      <w:r>
        <w:drawing>
          <wp:anchor distT="0" distB="0" distL="114300" distR="114300" simplePos="0" relativeHeight="251664384" behindDoc="1" locked="0" layoutInCell="1" allowOverlap="1">
            <wp:simplePos x="0" y="0"/>
            <wp:positionH relativeFrom="column">
              <wp:posOffset>3893820</wp:posOffset>
            </wp:positionH>
            <wp:positionV relativeFrom="paragraph">
              <wp:posOffset>187325</wp:posOffset>
            </wp:positionV>
            <wp:extent cx="2066925" cy="1447800"/>
            <wp:effectExtent l="0" t="0" r="9525" b="0"/>
            <wp:wrapNone/>
            <wp:docPr id="2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0"/>
                    <pic:cNvPicPr>
                      <a:picLocks noChangeAspect="1"/>
                    </pic:cNvPicPr>
                  </pic:nvPicPr>
                  <pic:blipFill>
                    <a:blip r:embed="rId26"/>
                    <a:stretch>
                      <a:fillRect/>
                    </a:stretch>
                  </pic:blipFill>
                  <pic:spPr>
                    <a:xfrm>
                      <a:off x="0" y="0"/>
                      <a:ext cx="2066925" cy="1447800"/>
                    </a:xfrm>
                    <a:prstGeom prst="rect">
                      <a:avLst/>
                    </a:prstGeom>
                    <a:noFill/>
                    <a:ln w="9525">
                      <a:noFill/>
                    </a:ln>
                  </pic:spPr>
                </pic:pic>
              </a:graphicData>
            </a:graphic>
          </wp:anchor>
        </w:drawing>
      </w:r>
      <w:r>
        <w:drawing>
          <wp:anchor distT="0" distB="0" distL="114300" distR="114300" simplePos="0" relativeHeight="251663360" behindDoc="1" locked="0" layoutInCell="1" allowOverlap="1">
            <wp:simplePos x="0" y="0"/>
            <wp:positionH relativeFrom="column">
              <wp:posOffset>-728980</wp:posOffset>
            </wp:positionH>
            <wp:positionV relativeFrom="paragraph">
              <wp:posOffset>187325</wp:posOffset>
            </wp:positionV>
            <wp:extent cx="2238375" cy="1428750"/>
            <wp:effectExtent l="0" t="0" r="9525" b="0"/>
            <wp:wrapNone/>
            <wp:docPr id="2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1"/>
                    <pic:cNvPicPr>
                      <a:picLocks noChangeAspect="1"/>
                    </pic:cNvPicPr>
                  </pic:nvPicPr>
                  <pic:blipFill>
                    <a:blip r:embed="rId27"/>
                    <a:srcRect l="7394" r="3946"/>
                    <a:stretch>
                      <a:fillRect/>
                    </a:stretch>
                  </pic:blipFill>
                  <pic:spPr>
                    <a:xfrm>
                      <a:off x="0" y="0"/>
                      <a:ext cx="2238375" cy="142875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spacing w:beforeLines="50" w:line="280" w:lineRule="exact"/>
        <w:jc w:val="both"/>
        <w:rPr>
          <w:rFonts w:hint="eastAsia" w:asciiTheme="majorEastAsia" w:hAnsiTheme="majorEastAsia" w:eastAsiaTheme="majorEastAsia" w:cstheme="majorEastAsia"/>
          <w:sz w:val="24"/>
          <w:szCs w:val="24"/>
        </w:rPr>
      </w:pPr>
    </w:p>
    <w:p>
      <w:pPr>
        <w:spacing w:beforeLines="50" w:line="280" w:lineRule="exact"/>
        <w:jc w:val="cente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弘传统美德  树文明新风</w:t>
      </w:r>
    </w:p>
    <w:p>
      <w:pPr>
        <w:spacing w:line="200" w:lineRule="exact"/>
        <w:ind w:firstLine="420" w:firstLineChars="200"/>
        <w:rPr>
          <w:rFonts w:ascii="仿宋_GB2312" w:eastAsia="仿宋_GB2312"/>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2" w:firstLineChars="200"/>
        <w:jc w:val="center"/>
        <w:textAlignment w:val="auto"/>
        <w:outlineLvl w:val="9"/>
        <w:rPr>
          <w:rFonts w:hint="eastAsia" w:ascii="宋体" w:hAnsi="宋体" w:eastAsia="宋体" w:cs="宋体"/>
          <w:b/>
          <w:bCs/>
          <w:sz w:val="21"/>
          <w:szCs w:val="21"/>
          <w:lang w:eastAsia="zh-CN"/>
        </w:rPr>
      </w:pPr>
      <w:r>
        <w:rPr>
          <w:rFonts w:hint="eastAsia" w:ascii="宋体" w:hAnsi="宋体" w:cs="宋体"/>
          <w:b/>
          <w:bCs/>
          <w:sz w:val="21"/>
          <w:szCs w:val="21"/>
          <w:lang w:eastAsia="zh-CN"/>
        </w:rPr>
        <w:t>婚事新办</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四项倡导：</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1、倡导不办婚宴的集体婚礼、旅游结婚。</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2、倡导不收礼金、简朴庆贺的高雅婚宴。</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3、倡导农村建立集中办婚礼场所。</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4、倡导举办绿色环保至上的婚事。</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六项严禁：</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1、严禁大操大办。单方举办婚宴不超过20桌，男女双方合办不得超过30桌。</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2、严禁收送高额礼金。亲戚（直系亲属、三代以内嫡系亲属及近姻亲）以外非国家公职人员收送礼金（礼品价值）不得超过100元，亲戚以外人员是国家公职人员的不得以任何形式收送礼金和礼品。</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3、严禁占道搭棚设拱。县城规划区不准搭棚，不准架设充气拱门；农村搭棚设拱不得影响交通安全，充气拱门不得超过1个。</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4、严禁婚车扰民堵道。接亲送亲车辆不得超过8辆。</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18"/>
          <w:szCs w:val="18"/>
        </w:rPr>
      </w:pPr>
      <w:r>
        <w:rPr>
          <w:rFonts w:hint="eastAsia" w:ascii="宋体" w:hAnsi="宋体" w:eastAsia="宋体" w:cs="宋体"/>
          <w:sz w:val="21"/>
          <w:szCs w:val="21"/>
        </w:rPr>
        <w:t>5、严禁恶闹婚宴、洞房等低俗行为。不得以化丑妆、打闹游街等粗俗方式取乐婚嫁当事双方及其父母。</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2" w:firstLineChars="200"/>
        <w:jc w:val="center"/>
        <w:textAlignment w:val="auto"/>
        <w:outlineLvl w:val="9"/>
        <w:rPr>
          <w:rFonts w:hint="eastAsia" w:ascii="宋体" w:hAnsi="宋体" w:cs="宋体"/>
          <w:b/>
          <w:bCs/>
          <w:sz w:val="21"/>
          <w:szCs w:val="21"/>
          <w:lang w:eastAsia="zh-CN"/>
        </w:rPr>
      </w:pPr>
      <w:r>
        <w:rPr>
          <w:rFonts w:hint="eastAsia" w:ascii="宋体" w:hAnsi="宋体" w:cs="宋体"/>
          <w:b/>
          <w:bCs/>
          <w:sz w:val="21"/>
          <w:szCs w:val="21"/>
          <w:lang w:eastAsia="zh-CN"/>
        </w:rPr>
        <w:t>丧事简办</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四项倡导：</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1、倡导使用鲜花代替花圈吊唁。</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2、倡导生态安葬。</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3、倡导节俭文明办丧事。</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4、倡导农村建立集中安葬公益墓地。</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六项严禁：</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1、严禁铺张浪费。操办时间不得超过3天，不搭台唱戏，舞龙耍狮，葬礼车队规模不得超过8辆，不得串街漫游。</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2、严禁封建迷信活动。</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3、严禁污染环境，不得燃放烟花鞭炮，不得使用不可降解的一次性餐具。</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4、严禁乱设丧事场所。县城规划区居民必须到县殡仪馆操办；农村居民搭棚设拱不得影响交通安全，充气拱门不得超过1个。</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5、严禁借机敛财。亲戚以外非国家公职人员收送礼金（礼品价值）不得超过100元，亲戚以外人员是国家公职人员的不得以任何形式收送礼金和礼品。</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 w:val="21"/>
          <w:szCs w:val="21"/>
        </w:rPr>
      </w:pPr>
      <w:r>
        <w:rPr>
          <w:rFonts w:hint="eastAsia" w:ascii="宋体" w:hAnsi="宋体" w:eastAsia="宋体" w:cs="宋体"/>
          <w:sz w:val="21"/>
          <w:szCs w:val="21"/>
        </w:rPr>
        <w:t>6、严禁乱埋乱葬。不得在耕地、林地、城市公园、风景名胜区和文物保护区、水库河流堤坝附近和水源保护区、铁路公路主干线两侧乱埋乱葬。不得修活人墓、家庭墓和豪华墓，土葬单人墓地占地面积不超过4平方米、双人墓地不超过6平方米；安葬两人以下骨灰的墓穴，占地面积不超过2平方米；墓碑出土高程不超过1.2米。</w:t>
      </w:r>
    </w:p>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outlineLvl w:val="9"/>
        <w:rPr>
          <w:rFonts w:hint="eastAsia" w:ascii="宋体" w:hAnsi="宋体" w:cs="宋体"/>
          <w:b/>
          <w:bCs/>
          <w:sz w:val="21"/>
          <w:szCs w:val="21"/>
          <w:lang w:eastAsia="zh-CN"/>
        </w:rPr>
      </w:pPr>
    </w:p>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outlineLvl w:val="9"/>
        <w:rPr>
          <w:rFonts w:hint="eastAsia" w:ascii="宋体" w:hAnsi="宋体" w:cs="宋体"/>
          <w:b/>
          <w:bCs/>
          <w:sz w:val="21"/>
          <w:szCs w:val="21"/>
          <w:lang w:eastAsia="zh-CN"/>
        </w:rPr>
      </w:pPr>
      <w:r>
        <w:rPr>
          <w:rFonts w:hint="eastAsia" w:ascii="宋体" w:hAnsi="宋体" w:cs="宋体"/>
          <w:b/>
          <w:bCs/>
          <w:sz w:val="21"/>
          <w:szCs w:val="21"/>
          <w:lang w:eastAsia="zh-CN"/>
        </w:rPr>
        <w:t>其他人情宴禁办</w:t>
      </w:r>
    </w:p>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outlineLvl w:val="9"/>
        <w:rPr>
          <w:rFonts w:hint="eastAsia" w:ascii="宋体" w:hAnsi="宋体" w:cs="宋体"/>
          <w:b/>
          <w:bCs/>
          <w:sz w:val="21"/>
          <w:szCs w:val="21"/>
          <w:lang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szCs w:val="21"/>
          <w:lang w:val="en-US" w:eastAsia="zh-CN"/>
        </w:rPr>
      </w:pPr>
      <w:r>
        <w:rPr>
          <w:rFonts w:hint="eastAsia" w:ascii="宋体" w:hAnsi="宋体" w:eastAsia="宋体" w:cs="宋体"/>
          <w:sz w:val="21"/>
          <w:szCs w:val="21"/>
        </w:rPr>
        <w:t>严禁以乔迁新居、新铺开业、参军、升学、做寿（70岁以下）、做土地生日等名义举办人情宴；严禁以任何方式邀请亲戚以外人员参加小孩出生、周岁、做寿等人情宴或收受礼金和贵重礼品。</w:t>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78720" behindDoc="1" locked="0" layoutInCell="1" allowOverlap="1">
            <wp:simplePos x="0" y="0"/>
            <wp:positionH relativeFrom="column">
              <wp:posOffset>-897255</wp:posOffset>
            </wp:positionH>
            <wp:positionV relativeFrom="paragraph">
              <wp:posOffset>128905</wp:posOffset>
            </wp:positionV>
            <wp:extent cx="6848475" cy="3448050"/>
            <wp:effectExtent l="0" t="0" r="9525" b="0"/>
            <wp:wrapNone/>
            <wp:docPr id="2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2"/>
                    <pic:cNvPicPr>
                      <a:picLocks noChangeAspect="1"/>
                    </pic:cNvPicPr>
                  </pic:nvPicPr>
                  <pic:blipFill>
                    <a:blip r:embed="rId28"/>
                    <a:stretch>
                      <a:fillRect/>
                    </a:stretch>
                  </pic:blipFill>
                  <pic:spPr>
                    <a:xfrm>
                      <a:off x="0" y="0"/>
                      <a:ext cx="6848475" cy="344805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681792" behindDoc="1" locked="0" layoutInCell="1" allowOverlap="1">
            <wp:simplePos x="0" y="0"/>
            <wp:positionH relativeFrom="column">
              <wp:posOffset>-859155</wp:posOffset>
            </wp:positionH>
            <wp:positionV relativeFrom="paragraph">
              <wp:posOffset>77470</wp:posOffset>
            </wp:positionV>
            <wp:extent cx="1571625" cy="1143000"/>
            <wp:effectExtent l="0" t="0" r="9525" b="0"/>
            <wp:wrapNone/>
            <wp:docPr id="2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pic:cNvPicPr>
                      <a:picLocks noChangeAspect="1"/>
                    </pic:cNvPicPr>
                  </pic:nvPicPr>
                  <pic:blipFill>
                    <a:blip r:embed="rId29"/>
                    <a:stretch>
                      <a:fillRect/>
                    </a:stretch>
                  </pic:blipFill>
                  <pic:spPr>
                    <a:xfrm>
                      <a:off x="0" y="0"/>
                      <a:ext cx="1571625" cy="1143000"/>
                    </a:xfrm>
                    <a:prstGeom prst="rect">
                      <a:avLst/>
                    </a:prstGeom>
                    <a:noFill/>
                    <a:ln w="9525">
                      <a:noFill/>
                    </a:ln>
                  </pic:spPr>
                </pic:pic>
              </a:graphicData>
            </a:graphic>
          </wp:anchor>
        </w:drawing>
      </w:r>
      <w:r>
        <w:drawing>
          <wp:anchor distT="0" distB="0" distL="114300" distR="114300" simplePos="0" relativeHeight="251675648" behindDoc="1" locked="0" layoutInCell="1" allowOverlap="1">
            <wp:simplePos x="0" y="0"/>
            <wp:positionH relativeFrom="column">
              <wp:posOffset>845820</wp:posOffset>
            </wp:positionH>
            <wp:positionV relativeFrom="paragraph">
              <wp:posOffset>86995</wp:posOffset>
            </wp:positionV>
            <wp:extent cx="1695450" cy="1085850"/>
            <wp:effectExtent l="0" t="0" r="0" b="0"/>
            <wp:wrapNone/>
            <wp:docPr id="2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6"/>
                    <pic:cNvPicPr>
                      <a:picLocks noChangeAspect="1"/>
                    </pic:cNvPicPr>
                  </pic:nvPicPr>
                  <pic:blipFill>
                    <a:blip r:embed="rId30"/>
                    <a:stretch>
                      <a:fillRect/>
                    </a:stretch>
                  </pic:blipFill>
                  <pic:spPr>
                    <a:xfrm>
                      <a:off x="0" y="0"/>
                      <a:ext cx="1695450" cy="1085850"/>
                    </a:xfrm>
                    <a:prstGeom prst="rect">
                      <a:avLst/>
                    </a:prstGeom>
                    <a:noFill/>
                    <a:ln w="9525">
                      <a:noFill/>
                    </a:ln>
                  </pic:spPr>
                </pic:pic>
              </a:graphicData>
            </a:graphic>
          </wp:anchor>
        </w:drawing>
      </w:r>
      <w:r>
        <w:drawing>
          <wp:anchor distT="0" distB="0" distL="114300" distR="114300" simplePos="0" relativeHeight="251680768" behindDoc="1" locked="0" layoutInCell="1" allowOverlap="1">
            <wp:simplePos x="0" y="0"/>
            <wp:positionH relativeFrom="column">
              <wp:posOffset>2646045</wp:posOffset>
            </wp:positionH>
            <wp:positionV relativeFrom="paragraph">
              <wp:posOffset>67945</wp:posOffset>
            </wp:positionV>
            <wp:extent cx="1476375" cy="1107440"/>
            <wp:effectExtent l="0" t="0" r="9525" b="16510"/>
            <wp:wrapNone/>
            <wp:docPr id="2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5"/>
                    <pic:cNvPicPr>
                      <a:picLocks noChangeAspect="1"/>
                    </pic:cNvPicPr>
                  </pic:nvPicPr>
                  <pic:blipFill>
                    <a:blip r:embed="rId31"/>
                    <a:stretch>
                      <a:fillRect/>
                    </a:stretch>
                  </pic:blipFill>
                  <pic:spPr>
                    <a:xfrm>
                      <a:off x="0" y="0"/>
                      <a:ext cx="1476375" cy="1107440"/>
                    </a:xfrm>
                    <a:prstGeom prst="rect">
                      <a:avLst/>
                    </a:prstGeom>
                    <a:noFill/>
                    <a:ln w="9525">
                      <a:noFill/>
                    </a:ln>
                  </pic:spPr>
                </pic:pic>
              </a:graphicData>
            </a:graphic>
          </wp:anchor>
        </w:drawing>
      </w:r>
      <w:r>
        <w:drawing>
          <wp:anchor distT="0" distB="0" distL="114300" distR="114300" simplePos="0" relativeHeight="251679744" behindDoc="1" locked="0" layoutInCell="1" allowOverlap="1">
            <wp:simplePos x="0" y="0"/>
            <wp:positionH relativeFrom="column">
              <wp:posOffset>4217670</wp:posOffset>
            </wp:positionH>
            <wp:positionV relativeFrom="paragraph">
              <wp:posOffset>77470</wp:posOffset>
            </wp:positionV>
            <wp:extent cx="1694180" cy="1104900"/>
            <wp:effectExtent l="0" t="0" r="1270" b="0"/>
            <wp:wrapNone/>
            <wp:docPr id="2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4"/>
                    <pic:cNvPicPr>
                      <a:picLocks noChangeAspect="1"/>
                    </pic:cNvPicPr>
                  </pic:nvPicPr>
                  <pic:blipFill>
                    <a:blip r:embed="rId32"/>
                    <a:stretch>
                      <a:fillRect/>
                    </a:stretch>
                  </pic:blipFill>
                  <pic:spPr>
                    <a:xfrm>
                      <a:off x="0" y="0"/>
                      <a:ext cx="1694180" cy="110490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spacing w:beforeLines="50" w:afterLines="100" w:line="240" w:lineRule="exact"/>
        <w:jc w:val="center"/>
        <w:rPr>
          <w:rFonts w:ascii="方正小标宋简体" w:eastAsia="方正小标宋简体"/>
          <w:b/>
          <w:bCs/>
          <w:sz w:val="24"/>
        </w:rPr>
      </w:pPr>
      <w:r>
        <w:rPr>
          <w:rFonts w:hint="eastAsia" w:ascii="方正小标宋简体" w:eastAsia="方正小标宋简体"/>
          <w:b/>
          <w:bCs/>
          <w:sz w:val="24"/>
        </w:rPr>
        <w:t>美丽乡村房屋建设“四落实”</w:t>
      </w:r>
    </w:p>
    <w:p>
      <w:pPr>
        <w:spacing w:line="40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落实“五有”：有村庄规划、有审批手续、有标准图集、有施工管理、有绿化美化。</w:t>
      </w:r>
    </w:p>
    <w:p>
      <w:pPr>
        <w:spacing w:line="40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落实“三到场”：批前选址到场、开工放样到场、竣工验收到场。</w:t>
      </w:r>
    </w:p>
    <w:p>
      <w:pPr>
        <w:spacing w:line="40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落实“四禁止”：禁止在高速、省道、县道、乡道规定距离内建房；禁止占用基本农田建房；禁止在山洪地质灾害易发地建房；禁止在大堤、大坝、沟、港、渠等水利设施保护范围内建房。</w:t>
      </w:r>
    </w:p>
    <w:p>
      <w:pPr>
        <w:spacing w:line="400" w:lineRule="exact"/>
        <w:ind w:firstLine="420" w:firstLineChars="200"/>
        <w:rPr>
          <w:rFonts w:hint="eastAsia" w:ascii="仿宋_GB2312" w:eastAsia="仿宋_GB2312"/>
          <w:sz w:val="24"/>
        </w:rPr>
      </w:pPr>
      <w:r>
        <w:rPr>
          <w:rFonts w:hint="eastAsia" w:ascii="宋体" w:hAnsi="宋体" w:eastAsia="宋体" w:cs="宋体"/>
          <w:sz w:val="21"/>
          <w:szCs w:val="21"/>
        </w:rPr>
        <w:t>落实“一杜绝”：杜绝未批先建。</w:t>
      </w:r>
    </w:p>
    <w:p>
      <w:pPr>
        <w:spacing w:beforeLines="50" w:afterLines="100" w:line="240" w:lineRule="exact"/>
        <w:jc w:val="center"/>
        <w:rPr>
          <w:rFonts w:ascii="方正小标宋简体" w:eastAsia="方正小标宋简体"/>
          <w:b/>
          <w:bCs/>
          <w:sz w:val="24"/>
        </w:rPr>
      </w:pPr>
      <w:r>
        <w:rPr>
          <w:rFonts w:hint="eastAsia" w:ascii="方正小标宋简体" w:eastAsia="方正小标宋简体"/>
          <w:b/>
          <w:bCs/>
          <w:sz w:val="24"/>
        </w:rPr>
        <w:t>全民动手</w:t>
      </w:r>
      <w:r>
        <w:rPr>
          <w:rFonts w:ascii="方正小标宋简体" w:eastAsia="方正小标宋简体"/>
          <w:b/>
          <w:bCs/>
          <w:sz w:val="24"/>
        </w:rPr>
        <w:t xml:space="preserve">  </w:t>
      </w:r>
      <w:r>
        <w:rPr>
          <w:rFonts w:hint="eastAsia" w:ascii="方正小标宋简体" w:eastAsia="方正小标宋简体"/>
          <w:b/>
          <w:bCs/>
          <w:sz w:val="24"/>
        </w:rPr>
        <w:t>净美环境</w:t>
      </w:r>
    </w:p>
    <w:p>
      <w:pPr>
        <w:spacing w:line="36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整治农村环境卫生，坚持生活垃圾户内分类减量处理，全面启动污水治理工程，加大杂乱治理力度，提升综合整治水平，加快美丽乡村建设。</w:t>
      </w:r>
    </w:p>
    <w:p>
      <w:pPr>
        <w:spacing w:line="36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1、科学处理垃圾。不乱仍、乱到垃圾。农户生活垃圾采取分类回收，沤制有机肥等办法处理，公共区域垃圾采取集中收集、压缩转运到县无害化处理，严禁乡、村填埋和集中焚烧处理。农用化肥、种子、农药包装等集中回收，进行无害化处理，医药垃圾由专业公司回收处理。</w:t>
      </w:r>
    </w:p>
    <w:p>
      <w:pPr>
        <w:spacing w:line="36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2、保持环境整洁。农村大面上及时修剪农村公路、沟渠、田埂两边杂草，清除杂树、杂物，不随意堆放杂物，拆除破旧房屋，不乱搭乱建，保持沿线整洁。农户及时清理屋前屋后杂草，农具、用具摆放有序，柴草杂物堆码整齐，拆除破烂房屋，室内室外干净整洁。</w:t>
      </w:r>
    </w:p>
    <w:p>
      <w:pPr>
        <w:spacing w:line="36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3、杜绝污水乱流。积极主动改水改厕，喝卫生水，改旱厕为水冲式厕所，建三格式化粪池收集处理生活污水，不乱泼乱倒生活污水，房屋四周开好导流水沟，实现雨污分流，防止污水乱流。</w:t>
      </w:r>
    </w:p>
    <w:p>
      <w:pPr>
        <w:spacing w:line="360" w:lineRule="exact"/>
        <w:ind w:firstLine="420" w:firstLineChars="200"/>
        <w:rPr>
          <w:rFonts w:hint="eastAsia" w:ascii="宋体" w:hAnsi="宋体" w:eastAsia="宋体" w:cs="宋体"/>
          <w:sz w:val="21"/>
          <w:szCs w:val="21"/>
        </w:rPr>
      </w:pPr>
      <w:r>
        <w:rPr>
          <w:rFonts w:hint="eastAsia" w:ascii="宋体" w:hAnsi="宋体" w:eastAsia="宋体" w:cs="宋体"/>
          <w:sz w:val="21"/>
          <w:szCs w:val="21"/>
        </w:rPr>
        <w:t>4、拒绝燃放鞭炮。讲文明，治陋习，祭拜祖先，过年过节，红白喜事等宜新事新办、勤俭节约，拒绝搭拱棚，燃放烟花鞭炮，减轻经济负担，减少安全事故，美化、净化环境。</w:t>
      </w:r>
    </w:p>
    <w:p>
      <w:pPr>
        <w:spacing w:line="360" w:lineRule="exact"/>
        <w:ind w:firstLine="420" w:firstLineChars="200"/>
        <w:rPr>
          <w:rFonts w:hint="eastAsia" w:ascii="宋体" w:hAnsi="宋体" w:eastAsia="宋体" w:cs="宋体"/>
          <w:sz w:val="21"/>
          <w:szCs w:val="21"/>
          <w:lang w:val="en-US" w:eastAsia="zh-CN"/>
        </w:rPr>
      </w:pPr>
    </w:p>
    <w:p>
      <w:pPr>
        <w:spacing w:line="360" w:lineRule="exact"/>
        <w:ind w:firstLine="420" w:firstLineChars="200"/>
        <w:rPr>
          <w:rFonts w:hint="eastAsia" w:ascii="宋体" w:hAnsi="宋体" w:eastAsia="宋体" w:cs="宋体"/>
          <w:sz w:val="21"/>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701248" behindDoc="1" locked="0" layoutInCell="1" allowOverlap="1">
            <wp:simplePos x="0" y="0"/>
            <wp:positionH relativeFrom="column">
              <wp:posOffset>-868680</wp:posOffset>
            </wp:positionH>
            <wp:positionV relativeFrom="paragraph">
              <wp:posOffset>-98425</wp:posOffset>
            </wp:positionV>
            <wp:extent cx="6867525" cy="3743325"/>
            <wp:effectExtent l="0" t="0" r="9525" b="9525"/>
            <wp:wrapNone/>
            <wp:docPr id="41"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7"/>
                    <pic:cNvPicPr>
                      <a:picLocks noChangeAspect="1"/>
                    </pic:cNvPicPr>
                  </pic:nvPicPr>
                  <pic:blipFill>
                    <a:blip r:embed="rId33"/>
                    <a:stretch>
                      <a:fillRect/>
                    </a:stretch>
                  </pic:blipFill>
                  <pic:spPr>
                    <a:xfrm>
                      <a:off x="0" y="0"/>
                      <a:ext cx="6867525" cy="3743325"/>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r>
        <w:drawing>
          <wp:anchor distT="0" distB="0" distL="114300" distR="114300" simplePos="0" relativeHeight="251700224" behindDoc="1" locked="0" layoutInCell="1" allowOverlap="1">
            <wp:simplePos x="0" y="0"/>
            <wp:positionH relativeFrom="column">
              <wp:posOffset>4789170</wp:posOffset>
            </wp:positionH>
            <wp:positionV relativeFrom="paragraph">
              <wp:posOffset>135890</wp:posOffset>
            </wp:positionV>
            <wp:extent cx="1285875" cy="1047750"/>
            <wp:effectExtent l="0" t="0" r="9525" b="0"/>
            <wp:wrapNone/>
            <wp:docPr id="45"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8"/>
                    <pic:cNvPicPr>
                      <a:picLocks noChangeAspect="1"/>
                    </pic:cNvPicPr>
                  </pic:nvPicPr>
                  <pic:blipFill>
                    <a:blip r:embed="rId34"/>
                    <a:stretch>
                      <a:fillRect/>
                    </a:stretch>
                  </pic:blipFill>
                  <pic:spPr>
                    <a:xfrm>
                      <a:off x="0" y="0"/>
                      <a:ext cx="1285875" cy="1047750"/>
                    </a:xfrm>
                    <a:prstGeom prst="rect">
                      <a:avLst/>
                    </a:prstGeom>
                    <a:noFill/>
                    <a:ln w="9525">
                      <a:noFill/>
                    </a:ln>
                  </pic:spPr>
                </pic:pic>
              </a:graphicData>
            </a:graphic>
          </wp:anchor>
        </w:drawing>
      </w:r>
      <w:r>
        <w:drawing>
          <wp:anchor distT="0" distB="0" distL="114300" distR="114300" simplePos="0" relativeHeight="251699200" behindDoc="1" locked="0" layoutInCell="1" allowOverlap="1">
            <wp:simplePos x="0" y="0"/>
            <wp:positionH relativeFrom="column">
              <wp:posOffset>3103245</wp:posOffset>
            </wp:positionH>
            <wp:positionV relativeFrom="paragraph">
              <wp:posOffset>135890</wp:posOffset>
            </wp:positionV>
            <wp:extent cx="1638300" cy="1047750"/>
            <wp:effectExtent l="0" t="0" r="0" b="0"/>
            <wp:wrapNone/>
            <wp:docPr id="43"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9"/>
                    <pic:cNvPicPr>
                      <a:picLocks noChangeAspect="1"/>
                    </pic:cNvPicPr>
                  </pic:nvPicPr>
                  <pic:blipFill>
                    <a:blip r:embed="rId35"/>
                    <a:stretch>
                      <a:fillRect/>
                    </a:stretch>
                  </pic:blipFill>
                  <pic:spPr>
                    <a:xfrm>
                      <a:off x="0" y="0"/>
                      <a:ext cx="1638300" cy="1047750"/>
                    </a:xfrm>
                    <a:prstGeom prst="rect">
                      <a:avLst/>
                    </a:prstGeom>
                    <a:noFill/>
                    <a:ln w="9525">
                      <a:noFill/>
                    </a:ln>
                  </pic:spPr>
                </pic:pic>
              </a:graphicData>
            </a:graphic>
          </wp:anchor>
        </w:drawing>
      </w:r>
      <w:r>
        <w:drawing>
          <wp:anchor distT="0" distB="0" distL="114300" distR="114300" simplePos="0" relativeHeight="251702272" behindDoc="1" locked="0" layoutInCell="1" allowOverlap="1">
            <wp:simplePos x="0" y="0"/>
            <wp:positionH relativeFrom="column">
              <wp:posOffset>626745</wp:posOffset>
            </wp:positionH>
            <wp:positionV relativeFrom="paragraph">
              <wp:posOffset>135890</wp:posOffset>
            </wp:positionV>
            <wp:extent cx="2393315" cy="1047750"/>
            <wp:effectExtent l="0" t="0" r="6985" b="0"/>
            <wp:wrapNone/>
            <wp:docPr id="42"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0"/>
                    <pic:cNvPicPr>
                      <a:picLocks noChangeAspect="1"/>
                    </pic:cNvPicPr>
                  </pic:nvPicPr>
                  <pic:blipFill>
                    <a:blip r:embed="rId36"/>
                    <a:stretch>
                      <a:fillRect/>
                    </a:stretch>
                  </pic:blipFill>
                  <pic:spPr>
                    <a:xfrm>
                      <a:off x="0" y="0"/>
                      <a:ext cx="2393315" cy="1047750"/>
                    </a:xfrm>
                    <a:prstGeom prst="rect">
                      <a:avLst/>
                    </a:prstGeom>
                    <a:noFill/>
                    <a:ln w="9525">
                      <a:noFill/>
                    </a:ln>
                  </pic:spPr>
                </pic:pic>
              </a:graphicData>
            </a:graphic>
          </wp:anchor>
        </w:drawing>
      </w:r>
      <w:r>
        <w:drawing>
          <wp:anchor distT="0" distB="0" distL="114300" distR="114300" simplePos="0" relativeHeight="251698176" behindDoc="1" locked="0" layoutInCell="1" allowOverlap="1">
            <wp:simplePos x="0" y="0"/>
            <wp:positionH relativeFrom="column">
              <wp:posOffset>-868680</wp:posOffset>
            </wp:positionH>
            <wp:positionV relativeFrom="paragraph">
              <wp:posOffset>135890</wp:posOffset>
            </wp:positionV>
            <wp:extent cx="1390650" cy="1047750"/>
            <wp:effectExtent l="0" t="0" r="0" b="0"/>
            <wp:wrapNone/>
            <wp:docPr id="44"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1"/>
                    <pic:cNvPicPr>
                      <a:picLocks noChangeAspect="1"/>
                    </pic:cNvPicPr>
                  </pic:nvPicPr>
                  <pic:blipFill>
                    <a:blip r:embed="rId37"/>
                    <a:stretch>
                      <a:fillRect/>
                    </a:stretch>
                  </pic:blipFill>
                  <pic:spPr>
                    <a:xfrm>
                      <a:off x="0" y="0"/>
                      <a:ext cx="1390650" cy="1047750"/>
                    </a:xfrm>
                    <a:prstGeom prst="rect">
                      <a:avLst/>
                    </a:prstGeom>
                    <a:noFill/>
                    <a:ln w="9525">
                      <a:noFill/>
                    </a:ln>
                  </pic:spPr>
                </pic:pic>
              </a:graphicData>
            </a:graphic>
          </wp:anchor>
        </w:drawing>
      </w: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numPr>
          <w:ilvl w:val="0"/>
          <w:numId w:val="0"/>
        </w:numPr>
        <w:spacing w:line="360" w:lineRule="auto"/>
        <w:rPr>
          <w:rFonts w:hint="eastAsia" w:ascii="宋体" w:hAnsi="宋体"/>
          <w:szCs w:val="21"/>
          <w:lang w:val="en-US" w:eastAsia="zh-CN"/>
        </w:rPr>
      </w:pPr>
    </w:p>
    <w:p>
      <w:pPr>
        <w:spacing w:line="260" w:lineRule="exact"/>
        <w:jc w:val="center"/>
        <w:rPr>
          <w:rFonts w:hint="eastAsia" w:ascii="方正小标宋简体" w:eastAsia="方正小标宋简体"/>
          <w:szCs w:val="21"/>
        </w:rPr>
      </w:pPr>
    </w:p>
    <w:p>
      <w:pPr>
        <w:spacing w:line="260" w:lineRule="exact"/>
        <w:jc w:val="both"/>
        <w:rPr>
          <w:rFonts w:hint="eastAsia" w:ascii="方正小标宋简体" w:eastAsia="方正小标宋简体"/>
          <w:szCs w:val="21"/>
        </w:rPr>
      </w:pPr>
    </w:p>
    <w:p>
      <w:pPr>
        <w:spacing w:line="260" w:lineRule="exact"/>
        <w:jc w:val="both"/>
        <w:rPr>
          <w:rFonts w:hint="eastAsia" w:ascii="方正小标宋简体" w:eastAsia="方正小标宋简体"/>
          <w:szCs w:val="21"/>
        </w:rPr>
      </w:pPr>
    </w:p>
    <w:p>
      <w:pPr>
        <w:spacing w:line="260" w:lineRule="exact"/>
        <w:jc w:val="both"/>
        <w:rPr>
          <w:rFonts w:hint="eastAsia" w:ascii="方正小标宋简体" w:eastAsia="方正小标宋简体"/>
          <w:szCs w:val="21"/>
        </w:rPr>
      </w:pPr>
    </w:p>
    <w:p>
      <w:pPr>
        <w:spacing w:line="260" w:lineRule="exact"/>
        <w:jc w:val="both"/>
        <w:rPr>
          <w:rFonts w:hint="eastAsia" w:ascii="方正小标宋简体" w:eastAsia="方正小标宋简体"/>
          <w:szCs w:val="21"/>
        </w:rPr>
      </w:pPr>
    </w:p>
    <w:p>
      <w:pPr>
        <w:spacing w:line="260" w:lineRule="exact"/>
        <w:jc w:val="center"/>
        <w:rPr>
          <w:rFonts w:hint="eastAsia" w:ascii="方正小标宋简体" w:eastAsia="方正小标宋简体"/>
          <w:b/>
          <w:bCs/>
          <w:sz w:val="24"/>
          <w:szCs w:val="24"/>
        </w:rPr>
      </w:pPr>
    </w:p>
    <w:p>
      <w:pPr>
        <w:spacing w:line="260" w:lineRule="exact"/>
        <w:jc w:val="center"/>
        <w:rPr>
          <w:rFonts w:ascii="方正小标宋简体" w:eastAsia="方正小标宋简体"/>
          <w:b/>
          <w:bCs/>
          <w:sz w:val="24"/>
          <w:szCs w:val="24"/>
        </w:rPr>
      </w:pPr>
      <w:r>
        <w:rPr>
          <w:rFonts w:hint="eastAsia" w:ascii="方正小标宋简体" w:eastAsia="方正小标宋简体"/>
          <w:b/>
          <w:bCs/>
          <w:sz w:val="24"/>
          <w:szCs w:val="24"/>
        </w:rPr>
        <w:t>改革与建设中坚实跨越的华容农业</w:t>
      </w:r>
    </w:p>
    <w:p>
      <w:pPr>
        <w:spacing w:line="260" w:lineRule="exact"/>
        <w:rPr>
          <w:rFonts w:ascii="仿宋_GB2312" w:eastAsia="仿宋_GB2312"/>
          <w:b/>
          <w:bCs/>
          <w:sz w:val="24"/>
          <w:szCs w:val="24"/>
        </w:rPr>
      </w:pP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eastAsia" w:ascii="宋体" w:hAnsi="宋体" w:eastAsia="宋体" w:cs="宋体"/>
          <w:szCs w:val="21"/>
        </w:rPr>
      </w:pPr>
      <w:r>
        <w:rPr>
          <w:rFonts w:hint="eastAsia" w:ascii="宋体" w:hAnsi="宋体" w:eastAsia="宋体" w:cs="宋体"/>
          <w:szCs w:val="21"/>
        </w:rPr>
        <w:t>华容农业，曾经生产方式落后、物质装备落后、商品意识落后。“穷则变、变则通”，2012年1月，在县委、县政府的高度重视和县农业部门的极力争取下，华容一举跻身国家现代农业示范区。近年来，华容农业人以工业化的理念引领全县农业向着现代化奔跑，用改革创新的精神勾画出国家现代农业示范区发展的宏伟胜状，实现传统农业向现代农业的华丽转身。2012-2015连续四年获评全国粮食生产先进县，2016年荣获全省粮食生产标兵县；2014年10月被农业部、财政部、银监会联合认定为国家现代农业示范区农业改革与建设试点县；先后获得中国棉纺织名城、全国蔬菜生产重点县、全国渔业百强县、全省油料生产及产业大县、华容芥菜——湖南十大农业品牌、全省财政支农改革试点县、全省金融支农改革示范县等国家级、省级荣誉。</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82" w:firstLineChars="200"/>
        <w:jc w:val="both"/>
        <w:textAlignment w:val="auto"/>
        <w:outlineLvl w:val="9"/>
        <w:rPr>
          <w:rFonts w:ascii="仿宋_GB2312" w:eastAsia="仿宋_GB2312"/>
          <w:szCs w:val="21"/>
        </w:rPr>
      </w:pPr>
      <w:r>
        <w:rPr>
          <w:rFonts w:hint="eastAsia" w:ascii="黑体" w:hAnsi="黑体" w:eastAsia="黑体"/>
          <w:b/>
          <w:bCs/>
          <w:sz w:val="24"/>
          <w:szCs w:val="24"/>
        </w:rPr>
        <w:t>一、新型农业经营体系建设得到省长的充分肯定。</w:t>
      </w:r>
      <w:r>
        <w:rPr>
          <w:rFonts w:hint="eastAsia" w:ascii="宋体" w:hAnsi="宋体" w:eastAsia="宋体" w:cs="宋体"/>
          <w:szCs w:val="21"/>
        </w:rPr>
        <w:t>新型农业经营主体迅速壮大。全县共培育家庭农场755家，其中省级示范家庭农场176家，是全国家庭农场建设试点县，发展经验被《农民日报》推介；发展农民专业合作社579家，入社社员8.4万户；培育种养专业大户3082户。2014年5月，时任省长杜家毫来我县调研，作出全省学习华容新型农业经营主体建设经验的批示。农业社会化服务全面推广，发展专业化统防统治公司12家，农机合作社及大型农机公司53家，全县主要农作物耕种收综合机械化水平达76%。农业适度规模经营不断扩大，全县规模经营面积达到58.6万亩，占比56%。全县主宗农产品粮棉油菜订单面积达到42%。</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82" w:firstLineChars="200"/>
        <w:jc w:val="both"/>
        <w:textAlignment w:val="auto"/>
        <w:outlineLvl w:val="9"/>
        <w:rPr>
          <w:rFonts w:hint="eastAsia" w:ascii="宋体" w:hAnsi="宋体" w:eastAsia="宋体" w:cs="宋体"/>
          <w:szCs w:val="21"/>
        </w:rPr>
      </w:pPr>
      <w:r>
        <w:rPr>
          <w:rFonts w:hint="eastAsia" w:ascii="黑体" w:hAnsi="黑体" w:eastAsia="黑体"/>
          <w:b/>
          <w:bCs/>
          <w:sz w:val="24"/>
          <w:szCs w:val="24"/>
        </w:rPr>
        <w:t>二、现代农业产业园区建设不断提升。</w:t>
      </w:r>
      <w:r>
        <w:rPr>
          <w:rFonts w:hint="eastAsia" w:ascii="宋体" w:hAnsi="宋体" w:eastAsia="宋体" w:cs="宋体"/>
          <w:szCs w:val="21"/>
        </w:rPr>
        <w:t>一是建好了以铭泰米业、新泰和绿色粮食工程为重点的粮食综合产业园。在岳华公路、石华公路沿线实施10万亩，带动全县粮食复种面积150万亩以上。二是建好了设施农业和休闲农业示范园。以新S306线现代农业产业园为重点，规划面积10平方公里，投资1.5亿元，引进13家农业企业，投资2.6亿元，落地生根，快速发展。三是建好了插旗和三封寺蔬菜加工园。着力国家地理标志认证产品开发利用，依托插旗菜业、喜多多食品、云龙菜业等龙头企业，与统一、康师傅等大集团公司联姻，实现农产品加工增值提效。</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82" w:firstLineChars="200"/>
        <w:jc w:val="both"/>
        <w:textAlignment w:val="auto"/>
        <w:outlineLvl w:val="9"/>
        <w:rPr>
          <w:rFonts w:ascii="仿宋_GB2312" w:eastAsia="仿宋_GB2312"/>
          <w:szCs w:val="21"/>
        </w:rPr>
      </w:pPr>
      <w:r>
        <w:rPr>
          <w:rFonts w:hint="eastAsia" w:ascii="黑体" w:hAnsi="黑体" w:eastAsia="黑体"/>
          <w:b/>
          <w:bCs/>
          <w:sz w:val="24"/>
          <w:szCs w:val="24"/>
        </w:rPr>
        <w:t>三、财政支农改革成为全省试点。</w:t>
      </w:r>
      <w:r>
        <w:rPr>
          <w:rFonts w:hint="eastAsia" w:ascii="宋体" w:hAnsi="宋体" w:eastAsia="宋体" w:cs="宋体"/>
          <w:szCs w:val="21"/>
        </w:rPr>
        <w:t>以改革为动力，以建设为目的，放胆放量破除农业发展中的体制机制障碍。6年来，有效整合现代农业发展、农业综合开发、国土整理、环洞庭湖土地治理、小农水、新增千亿斤粮食产能、省市奖补资金等七个方面的涉农资金近10亿元，立足农田水利基础建设欠账较多的实际，深入开展“小农水攻坚”和高标准农田建设，建成高标准农田72.8万亩，在一般灾害面前已完全能够做到排灌自如、旱涝保收。</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82" w:firstLineChars="200"/>
        <w:jc w:val="both"/>
        <w:textAlignment w:val="auto"/>
        <w:outlineLvl w:val="9"/>
        <w:rPr>
          <w:rFonts w:hint="eastAsia" w:ascii="宋体" w:hAnsi="宋体" w:eastAsia="宋体" w:cs="宋体"/>
          <w:szCs w:val="21"/>
        </w:rPr>
      </w:pPr>
      <w:r>
        <w:rPr>
          <w:rFonts w:hint="eastAsia" w:ascii="黑体" w:hAnsi="黑体" w:eastAsia="黑体"/>
          <w:b/>
          <w:bCs/>
          <w:sz w:val="24"/>
          <w:szCs w:val="24"/>
        </w:rPr>
        <w:t>四、金融支农改革成为全省样板。</w:t>
      </w:r>
      <w:r>
        <w:rPr>
          <w:rFonts w:hint="eastAsia" w:ascii="宋体" w:hAnsi="宋体" w:eastAsia="宋体" w:cs="宋体"/>
          <w:szCs w:val="21"/>
        </w:rPr>
        <w:t>立足为农业注入现代金融“血液”，打通农业融资“最后一公里”，创新无担保、无抵押授信贷款模式，全力为农民特别是新型农业经营主体开展信贷服务。目前，全县已授信516家，授信额度达1.57亿元，政府主动贴息50%以上，较好地解决了农民“贷款贵、贷款难”的问题。中国人民银行长沙中心支行组织全省各地州市支行行长来我县学习考察金融支农经验，国家农业部网站刊发“华容县创新八项举措促进金融支持新型农业经营主体”文章,向全国推介我县金融支农典型。</w:t>
      </w:r>
    </w:p>
    <w:p>
      <w:pPr>
        <w:spacing w:line="260" w:lineRule="exact"/>
        <w:ind w:firstLine="420" w:firstLineChars="200"/>
        <w:rPr>
          <w:rFonts w:hint="eastAsia" w:ascii="宋体" w:hAnsi="宋体" w:eastAsia="宋体" w:cs="宋体"/>
          <w:szCs w:val="21"/>
        </w:rPr>
      </w:pPr>
    </w:p>
    <w:p>
      <w:pPr>
        <w:spacing w:line="260" w:lineRule="exact"/>
        <w:ind w:firstLine="420" w:firstLineChars="200"/>
        <w:rPr>
          <w:rFonts w:hint="eastAsia" w:ascii="宋体" w:hAnsi="宋体" w:eastAsia="宋体" w:cs="宋体"/>
          <w:szCs w:val="21"/>
        </w:rPr>
      </w:pPr>
    </w:p>
    <w:p>
      <w:pPr>
        <w:spacing w:line="260" w:lineRule="exact"/>
        <w:ind w:firstLine="420" w:firstLineChars="200"/>
        <w:rPr>
          <w:rFonts w:hint="eastAsia" w:ascii="宋体" w:hAnsi="宋体" w:eastAsia="宋体" w:cs="宋体"/>
          <w:szCs w:val="21"/>
        </w:rPr>
      </w:pPr>
    </w:p>
    <w:p>
      <w:pPr>
        <w:spacing w:line="260" w:lineRule="exact"/>
        <w:ind w:firstLine="420" w:firstLineChars="200"/>
        <w:rPr>
          <w:rFonts w:hint="eastAsia" w:ascii="宋体" w:hAnsi="宋体" w:eastAsia="宋体" w:cs="宋体"/>
          <w:szCs w:val="21"/>
        </w:rPr>
      </w:pPr>
    </w:p>
    <w:p>
      <w:pPr>
        <w:spacing w:line="260" w:lineRule="exact"/>
        <w:ind w:firstLine="420" w:firstLineChars="200"/>
        <w:rPr>
          <w:rFonts w:hint="eastAsia" w:ascii="宋体" w:hAnsi="宋体" w:eastAsia="宋体" w:cs="宋体"/>
          <w:szCs w:val="21"/>
        </w:rPr>
      </w:pPr>
    </w:p>
    <w:p>
      <w:pPr>
        <w:spacing w:line="260" w:lineRule="exact"/>
        <w:rPr>
          <w:rFonts w:hint="eastAsia" w:ascii="仿宋_GB2312" w:eastAsia="仿宋_GB2312"/>
          <w:szCs w:val="21"/>
          <w:lang w:val="en-US" w:eastAsia="zh-CN"/>
        </w:rPr>
      </w:pPr>
    </w:p>
    <w:p>
      <w:pPr>
        <w:numPr>
          <w:ilvl w:val="0"/>
          <w:numId w:val="8"/>
        </w:numPr>
        <w:spacing w:line="360" w:lineRule="auto"/>
        <w:rPr>
          <w:rFonts w:hint="eastAsia" w:cs="Times New Roman" w:asciiTheme="minorEastAsia" w:hAnsiTheme="minorEastAsia" w:eastAsiaTheme="minorEastAsia"/>
          <w:bCs/>
          <w:color w:val="0C0C0C" w:themeColor="text1" w:themeTint="F2"/>
          <w:sz w:val="21"/>
          <w:szCs w:val="21"/>
          <w:lang w:eastAsia="zh-CN"/>
        </w:rPr>
      </w:pPr>
      <w:r>
        <w:rPr>
          <w:rFonts w:hint="eastAsia" w:ascii="宋体" w:hAnsi="宋体"/>
          <w:color w:val="0C0C0C" w:themeColor="text1" w:themeTint="F2"/>
          <w:szCs w:val="21"/>
          <w:lang w:val="en-US" w:eastAsia="zh-CN"/>
        </w:rPr>
        <w:t xml:space="preserve"> </w:t>
      </w:r>
      <w:r>
        <w:rPr>
          <w:rFonts w:hint="eastAsia" w:cs="Times New Roman" w:asciiTheme="minorEastAsia" w:hAnsiTheme="minorEastAsia" w:eastAsiaTheme="minorEastAsia"/>
          <w:bCs/>
          <w:color w:val="0C0C0C" w:themeColor="text1" w:themeTint="F2"/>
          <w:sz w:val="21"/>
          <w:szCs w:val="21"/>
          <w:lang w:eastAsia="zh-CN"/>
        </w:rPr>
        <w:t>验收标准和方法：</w:t>
      </w:r>
    </w:p>
    <w:p>
      <w:pPr>
        <w:numPr>
          <w:ilvl w:val="0"/>
          <w:numId w:val="0"/>
        </w:numPr>
        <w:spacing w:line="360" w:lineRule="auto"/>
        <w:ind w:firstLine="420" w:firstLineChars="200"/>
        <w:rPr>
          <w:rFonts w:hint="eastAsia" w:ascii="宋体" w:hAnsi="宋体"/>
          <w:szCs w:val="21"/>
          <w:lang w:val="en-US" w:eastAsia="zh-CN"/>
        </w:rPr>
      </w:pPr>
      <w:r>
        <w:rPr>
          <w:rFonts w:hint="eastAsia" w:ascii="宋体" w:hAnsi="宋体"/>
          <w:szCs w:val="21"/>
          <w:lang w:val="en-US" w:eastAsia="zh-CN"/>
        </w:rPr>
        <w:t>验收标准：</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210" w:firstLineChars="100"/>
        <w:jc w:val="both"/>
        <w:textAlignment w:val="auto"/>
        <w:outlineLvl w:val="9"/>
        <w:rPr>
          <w:rFonts w:hint="eastAsia" w:ascii="宋体" w:hAnsi="宋体" w:cs="宋体"/>
          <w:color w:val="FFFFFF"/>
          <w:kern w:val="0"/>
          <w:sz w:val="21"/>
          <w:szCs w:val="21"/>
        </w:rPr>
      </w:pPr>
      <w:r>
        <w:rPr>
          <w:rFonts w:hint="eastAsia" w:ascii="宋体" w:hAnsi="宋体" w:cs="宋体"/>
          <w:kern w:val="0"/>
          <w:sz w:val="21"/>
          <w:szCs w:val="21"/>
        </w:rPr>
        <w:t>1、</w:t>
      </w:r>
      <w:r>
        <w:rPr>
          <w:rFonts w:ascii="宋体" w:hAnsi="宋体" w:cs="宋体"/>
          <w:kern w:val="0"/>
          <w:sz w:val="21"/>
          <w:szCs w:val="21"/>
        </w:rPr>
        <w:t>必须要在彩色、印版规格尺寸、编排等方面严格按照原稿或客户要求误差≤0.05mm。</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210" w:firstLineChars="100"/>
        <w:jc w:val="both"/>
        <w:textAlignment w:val="auto"/>
        <w:outlineLvl w:val="9"/>
        <w:rPr>
          <w:rFonts w:hint="eastAsia" w:ascii="宋体" w:hAnsi="宋体" w:cs="宋体"/>
          <w:color w:val="FFFFFF"/>
          <w:kern w:val="0"/>
          <w:sz w:val="21"/>
          <w:szCs w:val="21"/>
        </w:rPr>
      </w:pPr>
      <w:r>
        <w:rPr>
          <w:rFonts w:hint="eastAsia" w:ascii="宋体" w:hAnsi="宋体" w:cs="宋体"/>
          <w:kern w:val="0"/>
          <w:sz w:val="21"/>
          <w:szCs w:val="21"/>
        </w:rPr>
        <w:t>2、</w:t>
      </w:r>
      <w:r>
        <w:rPr>
          <w:rFonts w:ascii="宋体" w:hAnsi="宋体" w:cs="宋体"/>
          <w:kern w:val="0"/>
          <w:sz w:val="21"/>
          <w:szCs w:val="21"/>
        </w:rPr>
        <w:t>严格对照原稿要求对阳图进行必要的修正。</w:t>
      </w:r>
      <w:r>
        <w:rPr>
          <w:rFonts w:ascii="宋体" w:hAnsi="宋体" w:cs="宋体"/>
          <w:color w:val="FFFFFF"/>
          <w:kern w:val="0"/>
          <w:sz w:val="21"/>
          <w:szCs w:val="21"/>
        </w:rPr>
        <w:t>T</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210" w:firstLineChars="100"/>
        <w:jc w:val="both"/>
        <w:textAlignment w:val="auto"/>
        <w:outlineLvl w:val="9"/>
        <w:rPr>
          <w:rFonts w:hint="eastAsia" w:ascii="宋体" w:hAnsi="宋体" w:cs="宋体"/>
          <w:kern w:val="0"/>
          <w:sz w:val="21"/>
          <w:szCs w:val="21"/>
        </w:rPr>
      </w:pPr>
      <w:r>
        <w:rPr>
          <w:rFonts w:hint="eastAsia" w:ascii="宋体" w:hAnsi="宋体" w:cs="宋体"/>
          <w:kern w:val="0"/>
          <w:sz w:val="21"/>
          <w:szCs w:val="21"/>
        </w:rPr>
        <w:t>3、</w:t>
      </w:r>
      <w:r>
        <w:rPr>
          <w:rFonts w:ascii="宋体" w:hAnsi="宋体" w:cs="宋体"/>
          <w:kern w:val="0"/>
          <w:sz w:val="21"/>
          <w:szCs w:val="21"/>
        </w:rPr>
        <w:t>单版图具备各种规格线，如拼版十字线、角线、复切线以及必要的啤线、摺页线等。</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210" w:firstLineChars="100"/>
        <w:jc w:val="both"/>
        <w:textAlignment w:val="auto"/>
        <w:outlineLvl w:val="9"/>
        <w:rPr>
          <w:rFonts w:hint="eastAsia" w:ascii="宋体" w:hAnsi="宋体" w:cs="宋体"/>
          <w:kern w:val="0"/>
          <w:sz w:val="21"/>
          <w:szCs w:val="21"/>
        </w:rPr>
      </w:pPr>
      <w:r>
        <w:rPr>
          <w:rFonts w:hint="eastAsia" w:ascii="宋体" w:hAnsi="宋体" w:cs="宋体"/>
          <w:kern w:val="0"/>
          <w:sz w:val="21"/>
          <w:szCs w:val="21"/>
        </w:rPr>
        <w:t>4、</w:t>
      </w:r>
      <w:r>
        <w:rPr>
          <w:rFonts w:ascii="宋体" w:hAnsi="宋体" w:cs="宋体"/>
          <w:vanish/>
          <w:kern w:val="0"/>
          <w:sz w:val="21"/>
          <w:szCs w:val="21"/>
        </w:rPr>
        <w:t>, b. o1 C, d6 I2 O</w:t>
      </w:r>
      <w:r>
        <w:rPr>
          <w:rFonts w:hint="eastAsia" w:ascii="宋体" w:hAnsi="宋体" w:cs="宋体"/>
          <w:vanish/>
          <w:kern w:val="0"/>
          <w:sz w:val="21"/>
          <w:szCs w:val="21"/>
        </w:rPr>
        <w:t>4、4、4</w:t>
      </w:r>
      <w:r>
        <w:rPr>
          <w:rFonts w:ascii="宋体" w:hAnsi="宋体" w:cs="宋体"/>
          <w:kern w:val="0"/>
          <w:sz w:val="21"/>
          <w:szCs w:val="21"/>
        </w:rPr>
        <w:t>所有规格线的尺寸不允许误差，编码不允许有错漏。所有规格线不得打进产品规格尺寸之内。</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210" w:firstLineChars="100"/>
        <w:jc w:val="both"/>
        <w:textAlignment w:val="auto"/>
        <w:outlineLvl w:val="9"/>
        <w:rPr>
          <w:rFonts w:hint="eastAsia" w:ascii="宋体" w:hAnsi="宋体" w:cs="宋体"/>
          <w:kern w:val="0"/>
          <w:sz w:val="21"/>
          <w:szCs w:val="21"/>
        </w:rPr>
      </w:pPr>
      <w:r>
        <w:rPr>
          <w:rFonts w:hint="eastAsia" w:ascii="宋体" w:hAnsi="宋体" w:cs="宋体"/>
          <w:kern w:val="0"/>
          <w:sz w:val="21"/>
          <w:szCs w:val="21"/>
        </w:rPr>
        <w:t>5、</w:t>
      </w:r>
      <w:r>
        <w:rPr>
          <w:rFonts w:ascii="宋体" w:hAnsi="宋体" w:cs="宋体"/>
          <w:vanish/>
          <w:kern w:val="0"/>
          <w:sz w:val="21"/>
          <w:szCs w:val="21"/>
        </w:rPr>
        <w:t>% P% F* ?( I' O3 N: C' [( o</w:t>
      </w:r>
      <w:r>
        <w:rPr>
          <w:rFonts w:hint="eastAsia" w:ascii="宋体" w:hAnsi="宋体" w:cs="宋体"/>
          <w:vanish/>
          <w:kern w:val="0"/>
          <w:sz w:val="21"/>
          <w:szCs w:val="21"/>
        </w:rPr>
        <w:t>5、</w:t>
      </w:r>
      <w:r>
        <w:rPr>
          <w:rFonts w:ascii="宋体" w:hAnsi="宋体" w:cs="宋体"/>
          <w:kern w:val="0"/>
          <w:sz w:val="21"/>
          <w:szCs w:val="21"/>
        </w:rPr>
        <w:t>单版阳图网点层次2%不消失。50%网点正负值在3%以下，95%网点不糊瞎。</w:t>
      </w:r>
      <w:r>
        <w:rPr>
          <w:rFonts w:ascii="宋体" w:hAnsi="宋体" w:cs="宋体"/>
          <w:color w:val="FFFFFF"/>
          <w:kern w:val="0"/>
          <w:sz w:val="21"/>
          <w:szCs w:val="21"/>
        </w:rPr>
        <w:t>; l3 x4 Y; t.</w:t>
      </w:r>
      <w:r>
        <w:rPr>
          <w:rFonts w:hint="eastAsia" w:ascii="宋体" w:hAnsi="宋体" w:cs="宋体"/>
          <w:kern w:val="0"/>
          <w:sz w:val="21"/>
          <w:szCs w:val="21"/>
        </w:rPr>
        <w:t>6、</w:t>
      </w:r>
      <w:r>
        <w:rPr>
          <w:rFonts w:ascii="宋体" w:hAnsi="宋体" w:cs="宋体"/>
          <w:kern w:val="0"/>
          <w:sz w:val="21"/>
          <w:szCs w:val="21"/>
        </w:rPr>
        <w:t>网点不允许有脏点、烂点，底片不允许有划痕、摺痕及粘附灰尘。</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210" w:firstLineChars="100"/>
        <w:jc w:val="both"/>
        <w:textAlignment w:val="auto"/>
        <w:outlineLvl w:val="9"/>
        <w:rPr>
          <w:rFonts w:hint="eastAsia" w:ascii="宋体" w:hAnsi="宋体" w:cs="宋体"/>
          <w:kern w:val="0"/>
          <w:sz w:val="21"/>
          <w:szCs w:val="21"/>
        </w:rPr>
      </w:pPr>
      <w:r>
        <w:rPr>
          <w:rFonts w:hint="eastAsia" w:ascii="宋体" w:hAnsi="宋体" w:cs="宋体"/>
          <w:kern w:val="0"/>
          <w:sz w:val="21"/>
          <w:szCs w:val="21"/>
        </w:rPr>
        <w:t>7、</w:t>
      </w:r>
      <w:r>
        <w:rPr>
          <w:rFonts w:ascii="宋体" w:hAnsi="宋体" w:cs="宋体"/>
          <w:kern w:val="0"/>
          <w:sz w:val="21"/>
          <w:szCs w:val="21"/>
        </w:rPr>
        <w:t>所有规格线都必须使用标准规格线，粗细在0.05～0.1mm之间。</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210" w:firstLineChars="100"/>
        <w:jc w:val="both"/>
        <w:textAlignment w:val="auto"/>
        <w:outlineLvl w:val="9"/>
        <w:rPr>
          <w:rFonts w:hint="eastAsia" w:ascii="宋体" w:hAnsi="宋体"/>
          <w:szCs w:val="21"/>
          <w:lang w:eastAsia="zh-CN"/>
        </w:rPr>
      </w:pPr>
      <w:r>
        <w:rPr>
          <w:rFonts w:hint="eastAsia" w:ascii="宋体" w:hAnsi="宋体" w:cs="宋体"/>
          <w:kern w:val="0"/>
          <w:sz w:val="21"/>
          <w:szCs w:val="21"/>
        </w:rPr>
        <w:t>8、</w:t>
      </w:r>
      <w:r>
        <w:rPr>
          <w:rFonts w:ascii="宋体" w:hAnsi="宋体" w:cs="宋体"/>
          <w:kern w:val="0"/>
          <w:sz w:val="21"/>
          <w:szCs w:val="21"/>
        </w:rPr>
        <w:t>凡交晒版、打样及印刷的单版阳图必须放置信号条或标准色标。</w:t>
      </w:r>
    </w:p>
    <w:p>
      <w:pPr>
        <w:numPr>
          <w:ilvl w:val="0"/>
          <w:numId w:val="0"/>
        </w:numPr>
        <w:spacing w:line="360" w:lineRule="auto"/>
        <w:ind w:firstLine="210" w:firstLineChars="100"/>
        <w:rPr>
          <w:rFonts w:hint="eastAsia" w:ascii="宋体" w:hAnsi="宋体"/>
          <w:szCs w:val="21"/>
          <w:lang w:val="en-US" w:eastAsia="zh-CN"/>
        </w:rPr>
      </w:pPr>
      <w:r>
        <w:rPr>
          <w:rFonts w:hint="eastAsia" w:ascii="宋体" w:hAnsi="宋体"/>
          <w:szCs w:val="21"/>
          <w:lang w:eastAsia="zh-CN"/>
        </w:rPr>
        <w:t>验收方法：专人现场验收，具体事项在采购人和成交人双方签订的采购合同中订立明确。</w:t>
      </w:r>
    </w:p>
    <w:p>
      <w:pPr>
        <w:spacing w:line="360" w:lineRule="auto"/>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（六）技术服务要求</w:t>
      </w:r>
      <w:r>
        <w:rPr>
          <w:rFonts w:hint="eastAsia" w:cs="Times New Roman" w:asciiTheme="minorEastAsia" w:hAnsiTheme="minorEastAsia" w:eastAsiaTheme="minorEastAsia"/>
          <w:bCs/>
          <w:color w:val="0C0C0C" w:themeColor="text1" w:themeTint="F2"/>
          <w:sz w:val="21"/>
          <w:szCs w:val="21"/>
          <w:lang w:val="en-US" w:eastAsia="zh-CN"/>
        </w:rPr>
        <w:t xml:space="preserve">     </w:t>
      </w:r>
    </w:p>
    <w:p>
      <w:pPr>
        <w:spacing w:line="360" w:lineRule="auto"/>
        <w:ind w:firstLine="630" w:firstLineChars="300"/>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监督和检查产品的质量，确保质量达到规定的技术标准。</w:t>
      </w:r>
    </w:p>
    <w:p>
      <w:pPr>
        <w:numPr>
          <w:ilvl w:val="0"/>
          <w:numId w:val="8"/>
        </w:numPr>
        <w:spacing w:line="360" w:lineRule="auto"/>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售后服务的要求：</w:t>
      </w:r>
    </w:p>
    <w:p>
      <w:pPr>
        <w:numPr>
          <w:ilvl w:val="0"/>
          <w:numId w:val="0"/>
        </w:numPr>
        <w:spacing w:line="360" w:lineRule="auto"/>
        <w:rPr>
          <w:rFonts w:hint="eastAsia" w:cs="Times New Roman" w:asciiTheme="minorEastAsia" w:hAnsiTheme="minorEastAsia" w:eastAsiaTheme="minorEastAsia"/>
          <w:bCs/>
          <w:color w:val="0C0C0C" w:themeColor="text1" w:themeTint="F2"/>
          <w:sz w:val="21"/>
          <w:szCs w:val="21"/>
          <w:lang w:val="en-US" w:eastAsia="zh-CN"/>
        </w:rPr>
      </w:pPr>
      <w:r>
        <w:rPr>
          <w:rFonts w:hint="eastAsia" w:cs="Times New Roman" w:asciiTheme="minorEastAsia" w:hAnsiTheme="minorEastAsia" w:eastAsiaTheme="minorEastAsia"/>
          <w:bCs/>
          <w:color w:val="0C0C0C" w:themeColor="text1" w:themeTint="F2"/>
          <w:sz w:val="21"/>
          <w:szCs w:val="21"/>
          <w:lang w:val="en-US" w:eastAsia="zh-CN"/>
        </w:rPr>
        <w:t xml:space="preserve">    1、质量保证：质量实行三包。</w:t>
      </w:r>
    </w:p>
    <w:p>
      <w:pPr>
        <w:numPr>
          <w:ilvl w:val="0"/>
          <w:numId w:val="0"/>
        </w:numPr>
        <w:spacing w:line="360" w:lineRule="auto"/>
        <w:rPr>
          <w:rFonts w:hint="eastAsia" w:cs="Times New Roman" w:asciiTheme="minorEastAsia" w:hAnsiTheme="minorEastAsia" w:eastAsiaTheme="minorEastAsia"/>
          <w:bCs/>
          <w:color w:val="0C0C0C" w:themeColor="text1" w:themeTint="F2"/>
          <w:sz w:val="21"/>
          <w:szCs w:val="21"/>
          <w:lang w:val="en-US" w:eastAsia="zh-CN"/>
        </w:rPr>
      </w:pPr>
      <w:r>
        <w:rPr>
          <w:rFonts w:hint="eastAsia" w:cs="Times New Roman" w:asciiTheme="minorEastAsia" w:hAnsiTheme="minorEastAsia" w:eastAsiaTheme="minorEastAsia"/>
          <w:bCs/>
          <w:color w:val="0C0C0C" w:themeColor="text1" w:themeTint="F2"/>
          <w:sz w:val="21"/>
          <w:szCs w:val="21"/>
          <w:lang w:val="en-US" w:eastAsia="zh-CN"/>
        </w:rPr>
        <w:t xml:space="preserve">    2、交货时间：按合同签订时间，经双方协商后按时交货。</w:t>
      </w:r>
    </w:p>
    <w:p>
      <w:pPr>
        <w:numPr>
          <w:ilvl w:val="0"/>
          <w:numId w:val="0"/>
        </w:numPr>
        <w:spacing w:line="360" w:lineRule="auto"/>
        <w:rPr>
          <w:rFonts w:hint="eastAsia" w:cs="Times New Roman" w:asciiTheme="minorEastAsia" w:hAnsiTheme="minorEastAsia" w:eastAsiaTheme="minorEastAsia"/>
          <w:bCs/>
          <w:color w:val="0C0C0C" w:themeColor="text1" w:themeTint="F2"/>
          <w:sz w:val="21"/>
          <w:szCs w:val="21"/>
          <w:lang w:val="en-US" w:eastAsia="zh-CN"/>
        </w:rPr>
      </w:pPr>
      <w:r>
        <w:rPr>
          <w:rFonts w:hint="eastAsia" w:cs="Times New Roman" w:asciiTheme="minorEastAsia" w:hAnsiTheme="minorEastAsia" w:eastAsiaTheme="minorEastAsia"/>
          <w:bCs/>
          <w:color w:val="0C0C0C" w:themeColor="text1" w:themeTint="F2"/>
          <w:sz w:val="21"/>
          <w:szCs w:val="21"/>
          <w:lang w:val="en-US" w:eastAsia="zh-CN"/>
        </w:rPr>
        <w:t xml:space="preserve">    3、送货范围：华容县农业局（包括当地各乡镇）。</w:t>
      </w:r>
    </w:p>
    <w:p>
      <w:pPr>
        <w:numPr>
          <w:ilvl w:val="0"/>
          <w:numId w:val="0"/>
        </w:numPr>
        <w:spacing w:line="360" w:lineRule="auto"/>
        <w:rPr>
          <w:rFonts w:hint="eastAsia" w:cs="Times New Roman" w:asciiTheme="minorEastAsia" w:hAnsiTheme="minorEastAsia" w:eastAsiaTheme="minorEastAsia"/>
          <w:bCs/>
          <w:color w:val="0C0C0C" w:themeColor="text1" w:themeTint="F2"/>
          <w:sz w:val="21"/>
          <w:szCs w:val="21"/>
          <w:lang w:val="en-US" w:eastAsia="zh-CN"/>
        </w:rPr>
      </w:pPr>
      <w:r>
        <w:rPr>
          <w:rFonts w:hint="eastAsia" w:cs="Times New Roman" w:asciiTheme="minorEastAsia" w:hAnsiTheme="minorEastAsia" w:eastAsiaTheme="minorEastAsia"/>
          <w:bCs/>
          <w:color w:val="0C0C0C" w:themeColor="text1" w:themeTint="F2"/>
          <w:sz w:val="21"/>
          <w:szCs w:val="21"/>
          <w:lang w:val="en-US" w:eastAsia="zh-CN"/>
        </w:rPr>
        <w:t xml:space="preserve">    4、随叫随到，上门服务，如有质量问题，需免费重印。</w:t>
      </w:r>
    </w:p>
    <w:p>
      <w:pPr>
        <w:numPr>
          <w:ilvl w:val="0"/>
          <w:numId w:val="0"/>
        </w:numPr>
        <w:spacing w:line="360" w:lineRule="auto"/>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（八）其它需要说明的事项</w:t>
      </w:r>
    </w:p>
    <w:p>
      <w:pPr>
        <w:spacing w:line="360" w:lineRule="auto"/>
        <w:ind w:firstLine="630" w:firstLineChars="300"/>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项目现场：华容县城</w:t>
      </w:r>
    </w:p>
    <w:p>
      <w:pPr>
        <w:spacing w:line="360" w:lineRule="auto"/>
        <w:ind w:firstLine="630" w:firstLineChars="300"/>
        <w:rPr>
          <w:rFonts w:hint="eastAsia" w:cs="Times New Roman" w:asciiTheme="minorEastAsia" w:hAnsiTheme="minorEastAsia" w:eastAsiaTheme="minorEastAsia"/>
          <w:bCs/>
          <w:color w:val="0C0C0C" w:themeColor="text1" w:themeTint="F2"/>
          <w:sz w:val="21"/>
          <w:szCs w:val="21"/>
          <w:lang w:val="en-US" w:eastAsia="zh-CN"/>
        </w:rPr>
      </w:pPr>
      <w:r>
        <w:rPr>
          <w:rFonts w:hint="eastAsia" w:cs="Times New Roman" w:asciiTheme="minorEastAsia" w:hAnsiTheme="minorEastAsia" w:eastAsiaTheme="minorEastAsia"/>
          <w:bCs/>
          <w:color w:val="0C0C0C" w:themeColor="text1" w:themeTint="F2"/>
          <w:sz w:val="21"/>
          <w:szCs w:val="21"/>
          <w:lang w:val="en-US" w:eastAsia="zh-CN"/>
        </w:rPr>
        <w:t>履行合同时间：</w:t>
      </w:r>
      <w:r>
        <w:rPr>
          <w:rFonts w:hint="eastAsia" w:ascii="宋体" w:hAnsi="宋体"/>
          <w:color w:val="0C0C0C" w:themeColor="text1" w:themeTint="F2"/>
          <w:szCs w:val="21"/>
        </w:rPr>
        <w:t>校稿确认时间为准</w:t>
      </w:r>
    </w:p>
    <w:p>
      <w:pPr>
        <w:spacing w:line="360" w:lineRule="auto"/>
        <w:ind w:firstLine="630" w:firstLineChars="300"/>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val="en-US" w:eastAsia="zh-CN"/>
        </w:rPr>
        <w:t>履行合同的地点：</w:t>
      </w:r>
      <w:r>
        <w:rPr>
          <w:rFonts w:hint="eastAsia" w:cs="Times New Roman" w:asciiTheme="minorEastAsia" w:hAnsiTheme="minorEastAsia" w:eastAsiaTheme="minorEastAsia"/>
          <w:bCs/>
          <w:color w:val="0C0C0C" w:themeColor="text1" w:themeTint="F2"/>
          <w:sz w:val="21"/>
          <w:szCs w:val="21"/>
          <w:lang w:eastAsia="zh-CN"/>
        </w:rPr>
        <w:t>岳阳市华容县城（包括当地各乡镇）</w:t>
      </w:r>
    </w:p>
    <w:p>
      <w:pPr>
        <w:spacing w:line="360" w:lineRule="auto"/>
        <w:ind w:firstLine="630" w:firstLineChars="300"/>
        <w:rPr>
          <w:rFonts w:hint="eastAsia" w:cs="Times New Roman" w:asciiTheme="minorEastAsia" w:hAnsiTheme="minorEastAsia" w:eastAsiaTheme="minorEastAsia"/>
          <w:bCs/>
          <w:color w:val="0C0C0C" w:themeColor="text1" w:themeTint="F2"/>
          <w:sz w:val="21"/>
          <w:szCs w:val="21"/>
          <w:lang w:eastAsia="zh-CN"/>
        </w:rPr>
      </w:pPr>
      <w:r>
        <w:rPr>
          <w:rFonts w:hint="eastAsia"/>
          <w:color w:val="0C0C0C" w:themeColor="text1" w:themeTint="F2"/>
        </w:rPr>
        <w:t>付款方式</w:t>
      </w:r>
      <w:r>
        <w:rPr>
          <w:rFonts w:hint="eastAsia"/>
          <w:color w:val="0C0C0C" w:themeColor="text1" w:themeTint="F2"/>
          <w:lang w:eastAsia="zh-CN"/>
        </w:rPr>
        <w:t>：</w:t>
      </w:r>
      <w:r>
        <w:rPr>
          <w:rFonts w:hint="eastAsia" w:cs="Times New Roman" w:asciiTheme="minorEastAsia" w:hAnsiTheme="minorEastAsia" w:eastAsiaTheme="minorEastAsia"/>
          <w:bCs/>
          <w:color w:val="0C0C0C" w:themeColor="text1" w:themeTint="F2"/>
          <w:sz w:val="21"/>
          <w:szCs w:val="21"/>
          <w:lang w:val="en-US" w:eastAsia="zh-CN"/>
        </w:rPr>
        <w:t>银行转帐</w:t>
      </w:r>
    </w:p>
    <w:p>
      <w:pPr>
        <w:spacing w:line="360" w:lineRule="auto"/>
        <w:ind w:firstLine="630" w:firstLineChars="300"/>
        <w:rPr>
          <w:rFonts w:hint="eastAsia" w:cs="Times New Roman" w:asciiTheme="minorEastAsia" w:hAnsiTheme="minorEastAsia" w:eastAsiaTheme="minorEastAsia"/>
          <w:bCs/>
          <w:color w:val="0C0C0C" w:themeColor="text1" w:themeTint="F2"/>
          <w:sz w:val="21"/>
          <w:szCs w:val="21"/>
          <w:lang w:val="en-US" w:eastAsia="zh-CN"/>
        </w:rPr>
      </w:pPr>
      <w:r>
        <w:rPr>
          <w:rFonts w:hint="eastAsia" w:cs="Times New Roman" w:asciiTheme="minorEastAsia" w:hAnsiTheme="minorEastAsia" w:eastAsiaTheme="minorEastAsia"/>
          <w:bCs/>
          <w:color w:val="0C0C0C" w:themeColor="text1" w:themeTint="F2"/>
          <w:sz w:val="21"/>
          <w:szCs w:val="21"/>
          <w:lang w:eastAsia="zh-CN"/>
        </w:rPr>
        <w:t>质量保证期</w:t>
      </w:r>
      <w:r>
        <w:rPr>
          <w:rFonts w:hint="eastAsia" w:cs="Times New Roman" w:asciiTheme="minorEastAsia" w:hAnsiTheme="minorEastAsia" w:eastAsiaTheme="minorEastAsia"/>
          <w:bCs/>
          <w:color w:val="0C0C0C" w:themeColor="text1" w:themeTint="F2"/>
          <w:sz w:val="21"/>
          <w:szCs w:val="21"/>
          <w:lang w:val="en-US" w:eastAsia="zh-CN"/>
        </w:rPr>
        <w:t>: 1年</w:t>
      </w:r>
    </w:p>
    <w:p>
      <w:pPr>
        <w:spacing w:line="360" w:lineRule="auto"/>
        <w:ind w:firstLine="630" w:firstLineChars="300"/>
        <w:rPr>
          <w:rFonts w:hint="eastAsia" w:cs="Times New Roman" w:asciiTheme="minorEastAsia" w:hAnsiTheme="minorEastAsia" w:eastAsiaTheme="minorEastAsia"/>
          <w:bCs/>
          <w:color w:val="0C0C0C" w:themeColor="text1" w:themeTint="F2"/>
          <w:sz w:val="21"/>
          <w:szCs w:val="21"/>
          <w:lang w:eastAsia="zh-CN"/>
        </w:rPr>
      </w:pPr>
      <w:r>
        <w:rPr>
          <w:rFonts w:hint="eastAsia" w:cs="Times New Roman" w:asciiTheme="minorEastAsia" w:hAnsiTheme="minorEastAsia" w:eastAsiaTheme="minorEastAsia"/>
          <w:bCs/>
          <w:color w:val="0C0C0C" w:themeColor="text1" w:themeTint="F2"/>
          <w:sz w:val="21"/>
          <w:szCs w:val="21"/>
          <w:lang w:eastAsia="zh-CN"/>
        </w:rPr>
        <w:t>其他未尽事宜由采购人和成交人双方在采购合同中详细约定。</w:t>
      </w:r>
    </w:p>
    <w:p>
      <w:pPr>
        <w:spacing w:line="360" w:lineRule="auto"/>
        <w:jc w:val="both"/>
        <w:rPr>
          <w:rFonts w:hint="eastAsia" w:cs="黑体" w:asciiTheme="majorEastAsia" w:hAnsiTheme="majorEastAsia" w:eastAsiaTheme="majorEastAsia"/>
          <w:b/>
          <w:sz w:val="36"/>
          <w:szCs w:val="36"/>
        </w:rPr>
      </w:pPr>
    </w:p>
    <w:p>
      <w:pPr>
        <w:spacing w:line="360" w:lineRule="auto"/>
        <w:jc w:val="both"/>
        <w:rPr>
          <w:rFonts w:hint="eastAsia" w:cs="黑体" w:asciiTheme="majorEastAsia" w:hAnsiTheme="majorEastAsia" w:eastAsiaTheme="majorEastAsia"/>
          <w:b/>
          <w:sz w:val="36"/>
          <w:szCs w:val="36"/>
        </w:rPr>
      </w:pPr>
    </w:p>
    <w:p>
      <w:pPr>
        <w:spacing w:line="360" w:lineRule="auto"/>
        <w:jc w:val="both"/>
        <w:rPr>
          <w:rFonts w:hint="eastAsia" w:cs="黑体" w:asciiTheme="majorEastAsia" w:hAnsiTheme="majorEastAsia" w:eastAsiaTheme="majorEastAsia"/>
          <w:b/>
          <w:sz w:val="36"/>
          <w:szCs w:val="36"/>
        </w:rPr>
      </w:pPr>
    </w:p>
    <w:p>
      <w:pPr>
        <w:spacing w:line="360" w:lineRule="auto"/>
        <w:jc w:val="center"/>
        <w:rPr>
          <w:rFonts w:cs="Times New Roman" w:asciiTheme="majorEastAsia" w:hAnsiTheme="majorEastAsia" w:eastAsiaTheme="majorEastAsia"/>
          <w:b/>
          <w:sz w:val="36"/>
          <w:szCs w:val="36"/>
        </w:rPr>
      </w:pPr>
      <w:r>
        <w:rPr>
          <w:rFonts w:hint="eastAsia" w:cs="黑体" w:asciiTheme="majorEastAsia" w:hAnsiTheme="majorEastAsia" w:eastAsiaTheme="majorEastAsia"/>
          <w:b/>
          <w:sz w:val="36"/>
          <w:szCs w:val="36"/>
        </w:rPr>
        <w:t>第五章响应文件组成</w:t>
      </w:r>
    </w:p>
    <w:p>
      <w:pPr>
        <w:spacing w:line="360" w:lineRule="auto"/>
        <w:rPr>
          <w:rFonts w:ascii="宋体" w:cs="Times New Roman"/>
        </w:rPr>
      </w:pPr>
    </w:p>
    <w:p>
      <w:pPr>
        <w:spacing w:line="360" w:lineRule="auto"/>
        <w:rPr>
          <w:rFonts w:ascii="宋体" w:cs="Times New Roman"/>
        </w:rPr>
      </w:pPr>
      <w:r>
        <w:rPr>
          <w:rFonts w:hint="eastAsia" w:ascii="宋体" w:hAnsi="宋体" w:cs="宋体"/>
        </w:rPr>
        <w:t>供应商的响应文件应包含以下九个部分：</w:t>
      </w:r>
    </w:p>
    <w:p>
      <w:pPr>
        <w:spacing w:line="360" w:lineRule="auto"/>
        <w:rPr>
          <w:rFonts w:ascii="宋体" w:cs="Times New Roman"/>
        </w:rPr>
      </w:pPr>
    </w:p>
    <w:p>
      <w:pPr>
        <w:spacing w:line="360" w:lineRule="auto"/>
        <w:jc w:val="left"/>
        <w:rPr>
          <w:rFonts w:ascii="宋体" w:cs="Times New Roman"/>
          <w:b/>
          <w:bCs/>
        </w:rPr>
      </w:pPr>
      <w:r>
        <w:rPr>
          <w:rFonts w:hint="eastAsia" w:ascii="宋体" w:hAnsi="宋体" w:cs="宋体"/>
          <w:b/>
          <w:bCs/>
        </w:rPr>
        <w:t>一、谈判响应声明</w:t>
      </w:r>
    </w:p>
    <w:p>
      <w:pPr>
        <w:spacing w:line="360" w:lineRule="auto"/>
        <w:ind w:firstLine="420"/>
        <w:jc w:val="left"/>
        <w:rPr>
          <w:rFonts w:ascii="宋体" w:cs="Times New Roman"/>
        </w:rPr>
      </w:pPr>
      <w:r>
        <w:rPr>
          <w:rFonts w:hint="eastAsia" w:ascii="宋体" w:hAnsi="宋体" w:cs="宋体"/>
        </w:rPr>
        <w:t>附件</w:t>
      </w:r>
      <w:r>
        <w:rPr>
          <w:rFonts w:ascii="宋体" w:hAnsi="宋体" w:cs="宋体"/>
        </w:rPr>
        <w:t>1</w:t>
      </w:r>
      <w:r>
        <w:rPr>
          <w:rFonts w:hint="eastAsia" w:ascii="宋体" w:hAnsi="宋体" w:cs="宋体"/>
        </w:rPr>
        <w:t>：法定代表人身份证明</w:t>
      </w:r>
      <w:r>
        <w:rPr>
          <w:rFonts w:ascii="宋体" w:hAnsi="宋体" w:cs="宋体"/>
        </w:rPr>
        <w:t>(</w:t>
      </w:r>
      <w:r>
        <w:rPr>
          <w:rFonts w:hint="eastAsia" w:ascii="宋体" w:hAnsi="宋体" w:cs="宋体"/>
        </w:rPr>
        <w:t>法定代表人参加谈判</w:t>
      </w:r>
      <w:r>
        <w:rPr>
          <w:rFonts w:ascii="宋体" w:hAnsi="宋体" w:cs="宋体"/>
        </w:rPr>
        <w:t>)</w:t>
      </w:r>
    </w:p>
    <w:p>
      <w:pPr>
        <w:spacing w:line="360" w:lineRule="auto"/>
        <w:ind w:firstLine="420"/>
        <w:jc w:val="left"/>
        <w:rPr>
          <w:rFonts w:ascii="宋体" w:cs="Times New Roman"/>
        </w:rPr>
      </w:pPr>
      <w:r>
        <w:rPr>
          <w:rFonts w:hint="eastAsia" w:ascii="宋体" w:hAnsi="宋体" w:cs="宋体"/>
        </w:rPr>
        <w:t>附件</w:t>
      </w:r>
      <w:r>
        <w:rPr>
          <w:rFonts w:ascii="宋体" w:hAnsi="宋体" w:cs="宋体"/>
        </w:rPr>
        <w:t>2</w:t>
      </w:r>
      <w:r>
        <w:rPr>
          <w:rFonts w:hint="eastAsia" w:ascii="宋体" w:hAnsi="宋体" w:cs="宋体"/>
        </w:rPr>
        <w:t>：法定代表人授权书</w:t>
      </w:r>
      <w:r>
        <w:rPr>
          <w:rFonts w:ascii="宋体" w:hAnsi="宋体" w:cs="宋体"/>
        </w:rPr>
        <w:t>(</w:t>
      </w:r>
      <w:r>
        <w:rPr>
          <w:rFonts w:hint="eastAsia" w:ascii="宋体" w:hAnsi="宋体" w:cs="宋体"/>
        </w:rPr>
        <w:t>委托代理人参加谈判</w:t>
      </w:r>
      <w:r>
        <w:rPr>
          <w:rFonts w:ascii="宋体" w:hAnsi="宋体" w:cs="宋体"/>
        </w:rPr>
        <w:t>)</w:t>
      </w:r>
    </w:p>
    <w:p>
      <w:pPr>
        <w:spacing w:line="360" w:lineRule="auto"/>
        <w:jc w:val="left"/>
        <w:rPr>
          <w:rFonts w:ascii="宋体" w:cs="Times New Roman"/>
          <w:b/>
          <w:bCs/>
        </w:rPr>
      </w:pPr>
      <w:r>
        <w:rPr>
          <w:rFonts w:hint="eastAsia" w:ascii="宋体" w:hAnsi="宋体" w:cs="宋体"/>
          <w:b/>
          <w:bCs/>
        </w:rPr>
        <w:t>二、保证金</w:t>
      </w:r>
    </w:p>
    <w:p>
      <w:pPr>
        <w:spacing w:line="360" w:lineRule="auto"/>
        <w:ind w:firstLine="420"/>
        <w:jc w:val="left"/>
        <w:rPr>
          <w:rFonts w:ascii="宋体" w:cs="Times New Roman"/>
          <w:b/>
          <w:bCs/>
        </w:rPr>
      </w:pPr>
      <w:r>
        <w:rPr>
          <w:rFonts w:hint="eastAsia" w:ascii="宋体" w:hAnsi="宋体" w:cs="宋体"/>
        </w:rPr>
        <w:t>附件3：保证金退还申请书</w:t>
      </w:r>
    </w:p>
    <w:p>
      <w:pPr>
        <w:spacing w:line="360" w:lineRule="auto"/>
        <w:jc w:val="left"/>
        <w:rPr>
          <w:rFonts w:ascii="宋体" w:cs="Times New Roman"/>
          <w:b/>
          <w:bCs/>
        </w:rPr>
      </w:pPr>
      <w:r>
        <w:rPr>
          <w:rFonts w:hint="eastAsia" w:ascii="宋体" w:hAnsi="宋体" w:cs="宋体"/>
          <w:b/>
          <w:bCs/>
        </w:rPr>
        <w:t>三、供应商的资格证明材料</w:t>
      </w:r>
    </w:p>
    <w:p>
      <w:pPr>
        <w:spacing w:line="360" w:lineRule="auto"/>
        <w:ind w:firstLine="420"/>
        <w:jc w:val="left"/>
        <w:rPr>
          <w:rFonts w:ascii="宋体" w:cs="Times New Roman"/>
        </w:rPr>
      </w:pPr>
      <w:r>
        <w:rPr>
          <w:rFonts w:hint="eastAsia" w:ascii="宋体" w:hAnsi="宋体" w:cs="宋体"/>
        </w:rPr>
        <w:t>附件4：供应商基本情况表</w:t>
      </w:r>
    </w:p>
    <w:p>
      <w:pPr>
        <w:spacing w:line="360" w:lineRule="auto"/>
        <w:ind w:firstLine="420"/>
        <w:rPr>
          <w:rFonts w:ascii="宋体" w:hAnsi="宋体" w:cs="宋体"/>
        </w:rPr>
      </w:pPr>
      <w:r>
        <w:rPr>
          <w:rFonts w:hint="eastAsia" w:ascii="宋体" w:hAnsi="宋体" w:cs="宋体"/>
        </w:rPr>
        <w:t>附件5：供应商的资格条件更新材料</w:t>
      </w:r>
    </w:p>
    <w:p>
      <w:pPr>
        <w:spacing w:line="360" w:lineRule="auto"/>
        <w:ind w:firstLine="420"/>
        <w:rPr>
          <w:rFonts w:ascii="宋体" w:cs="Times New Roman"/>
        </w:rPr>
      </w:pPr>
      <w:r>
        <w:rPr>
          <w:rFonts w:hint="eastAsia" w:ascii="宋体" w:hAnsi="宋体" w:cs="宋体"/>
        </w:rPr>
        <w:t>附件6：联合体协议（格式）</w:t>
      </w:r>
    </w:p>
    <w:p>
      <w:pPr>
        <w:spacing w:line="360" w:lineRule="auto"/>
        <w:rPr>
          <w:rFonts w:ascii="宋体" w:cs="Times New Roman"/>
          <w:b/>
          <w:bCs/>
        </w:rPr>
      </w:pPr>
      <w:r>
        <w:rPr>
          <w:rFonts w:hint="eastAsia" w:ascii="宋体" w:hAnsi="宋体" w:cs="宋体"/>
          <w:b/>
          <w:bCs/>
        </w:rPr>
        <w:t>四、货物说明或者施工组织设计或者服务方案</w:t>
      </w:r>
    </w:p>
    <w:p>
      <w:pPr>
        <w:ind w:left="-88" w:firstLine="525" w:firstLineChars="250"/>
        <w:rPr>
          <w:rFonts w:ascii="宋体" w:cs="Times New Roman"/>
        </w:rPr>
      </w:pPr>
      <w:r>
        <w:rPr>
          <w:rFonts w:hint="eastAsia" w:ascii="宋体" w:hAnsi="宋体" w:cs="宋体"/>
        </w:rPr>
        <w:t>附件7：技术指标说明（货物类适用）</w:t>
      </w:r>
    </w:p>
    <w:p>
      <w:pPr>
        <w:spacing w:line="360" w:lineRule="auto"/>
        <w:rPr>
          <w:rFonts w:ascii="宋体" w:cs="Times New Roman"/>
          <w:b/>
          <w:bCs/>
        </w:rPr>
      </w:pPr>
      <w:r>
        <w:rPr>
          <w:rFonts w:hint="eastAsia" w:ascii="宋体" w:hAnsi="宋体" w:cs="宋体"/>
          <w:b/>
          <w:bCs/>
        </w:rPr>
        <w:t>五、技术</w:t>
      </w:r>
      <w:r>
        <w:rPr>
          <w:rFonts w:ascii="宋体" w:hAnsi="宋体" w:cs="宋体"/>
          <w:b/>
          <w:bCs/>
        </w:rPr>
        <w:t>/</w:t>
      </w:r>
      <w:r>
        <w:rPr>
          <w:rFonts w:hint="eastAsia" w:ascii="宋体" w:hAnsi="宋体" w:cs="宋体"/>
          <w:b/>
          <w:bCs/>
        </w:rPr>
        <w:t>商务响应与偏离表</w:t>
      </w:r>
    </w:p>
    <w:p>
      <w:pPr>
        <w:spacing w:line="360" w:lineRule="auto"/>
        <w:rPr>
          <w:rFonts w:ascii="宋体" w:cs="Times New Roman"/>
          <w:b/>
          <w:bCs/>
        </w:rPr>
      </w:pPr>
      <w:r>
        <w:rPr>
          <w:rFonts w:hint="eastAsia" w:ascii="宋体" w:hAnsi="宋体" w:cs="宋体"/>
          <w:b/>
          <w:bCs/>
        </w:rPr>
        <w:t>六、提供政府采购政策产品等证明材料</w:t>
      </w:r>
    </w:p>
    <w:p>
      <w:pPr>
        <w:spacing w:line="360" w:lineRule="auto"/>
        <w:ind w:firstLine="420"/>
        <w:rPr>
          <w:rFonts w:ascii="宋体" w:cs="Times New Roman"/>
        </w:rPr>
      </w:pPr>
      <w:r>
        <w:rPr>
          <w:rFonts w:hint="eastAsia" w:ascii="宋体" w:hAnsi="宋体" w:cs="宋体"/>
        </w:rPr>
        <w:t>附件8：中小企业声明函</w:t>
      </w:r>
    </w:p>
    <w:p>
      <w:pPr>
        <w:spacing w:line="360" w:lineRule="auto"/>
        <w:ind w:firstLine="420"/>
        <w:rPr>
          <w:rFonts w:ascii="宋体" w:cs="Times New Roman"/>
        </w:rPr>
      </w:pPr>
      <w:r>
        <w:rPr>
          <w:rFonts w:hint="eastAsia" w:ascii="宋体" w:hAnsi="宋体" w:cs="宋体"/>
        </w:rPr>
        <w:t>“节能产品</w:t>
      </w:r>
      <w:r>
        <w:rPr>
          <w:rFonts w:hint="eastAsia" w:ascii="宋体" w:cs="宋体"/>
        </w:rPr>
        <w:t>”</w:t>
      </w:r>
      <w:r>
        <w:rPr>
          <w:rFonts w:hint="eastAsia" w:ascii="宋体" w:hAnsi="宋体" w:cs="宋体"/>
        </w:rPr>
        <w:t>、</w:t>
      </w:r>
      <w:r>
        <w:rPr>
          <w:rFonts w:hint="eastAsia" w:ascii="宋体" w:cs="宋体"/>
        </w:rPr>
        <w:t>“</w:t>
      </w:r>
      <w:r>
        <w:rPr>
          <w:rFonts w:hint="eastAsia" w:ascii="宋体" w:hAnsi="宋体" w:cs="宋体"/>
        </w:rPr>
        <w:t>环境标志产品</w:t>
      </w:r>
      <w:r>
        <w:rPr>
          <w:rFonts w:hint="eastAsia" w:ascii="宋体" w:cs="宋体"/>
        </w:rPr>
        <w:t>”</w:t>
      </w:r>
      <w:r>
        <w:rPr>
          <w:rFonts w:hint="eastAsia" w:ascii="宋体" w:hAnsi="宋体" w:cs="宋体"/>
        </w:rPr>
        <w:t>、</w:t>
      </w:r>
      <w:r>
        <w:rPr>
          <w:rFonts w:hint="eastAsia" w:ascii="宋体" w:cs="宋体"/>
        </w:rPr>
        <w:t>“</w:t>
      </w:r>
      <w:r>
        <w:rPr>
          <w:rFonts w:hint="eastAsia" w:ascii="宋体" w:hAnsi="宋体" w:cs="宋体"/>
        </w:rPr>
        <w:t>两型产品</w:t>
      </w:r>
      <w:r>
        <w:rPr>
          <w:rFonts w:hint="eastAsia" w:ascii="宋体" w:cs="宋体"/>
        </w:rPr>
        <w:t>”</w:t>
      </w:r>
      <w:r>
        <w:rPr>
          <w:rFonts w:hint="eastAsia" w:ascii="宋体" w:hAnsi="宋体" w:cs="宋体"/>
        </w:rPr>
        <w:t>等证明材料</w:t>
      </w:r>
    </w:p>
    <w:p>
      <w:pPr>
        <w:spacing w:line="360" w:lineRule="auto"/>
        <w:rPr>
          <w:rFonts w:ascii="宋体" w:cs="Times New Roman"/>
          <w:b/>
          <w:bCs/>
        </w:rPr>
      </w:pPr>
      <w:r>
        <w:rPr>
          <w:rFonts w:hint="eastAsia" w:ascii="宋体" w:hAnsi="宋体" w:cs="宋体"/>
          <w:b/>
          <w:bCs/>
        </w:rPr>
        <w:t>七、报价一览表及报价文件</w:t>
      </w:r>
    </w:p>
    <w:p>
      <w:pPr>
        <w:spacing w:line="360" w:lineRule="auto"/>
        <w:ind w:firstLine="420"/>
        <w:jc w:val="left"/>
        <w:rPr>
          <w:rFonts w:ascii="宋体" w:cs="Times New Roman"/>
        </w:rPr>
      </w:pPr>
      <w:r>
        <w:rPr>
          <w:rFonts w:hint="eastAsia" w:ascii="宋体" w:hAnsi="宋体" w:cs="宋体"/>
        </w:rPr>
        <w:t>附件9：报价文件表</w:t>
      </w:r>
      <w:r>
        <w:rPr>
          <w:rFonts w:ascii="宋体" w:hAnsi="宋体" w:cs="宋体"/>
        </w:rPr>
        <w:t>(</w:t>
      </w:r>
      <w:r>
        <w:rPr>
          <w:rFonts w:hint="eastAsia" w:ascii="宋体" w:hAnsi="宋体" w:cs="宋体"/>
        </w:rPr>
        <w:t>货物类项目适用</w:t>
      </w:r>
      <w:r>
        <w:rPr>
          <w:rFonts w:ascii="宋体" w:hAnsi="宋体" w:cs="宋体"/>
        </w:rPr>
        <w:t>)</w:t>
      </w:r>
    </w:p>
    <w:p>
      <w:pPr>
        <w:numPr>
          <w:ilvl w:val="0"/>
          <w:numId w:val="9"/>
        </w:numPr>
        <w:spacing w:line="360" w:lineRule="auto"/>
        <w:rPr>
          <w:rFonts w:ascii="宋体" w:hAnsi="宋体" w:cs="宋体"/>
          <w:b/>
          <w:bCs/>
        </w:rPr>
      </w:pPr>
      <w:r>
        <w:rPr>
          <w:rFonts w:hint="eastAsia" w:ascii="宋体" w:hAnsi="宋体" w:cs="宋体"/>
          <w:b/>
          <w:bCs/>
        </w:rPr>
        <w:t>供应商认为需提供的其它资料</w:t>
      </w:r>
    </w:p>
    <w:p>
      <w:pPr>
        <w:spacing w:line="360" w:lineRule="auto"/>
        <w:rPr>
          <w:rFonts w:ascii="宋体" w:hAnsi="宋体" w:cs="宋体"/>
          <w:b/>
          <w:bCs/>
        </w:rPr>
      </w:pPr>
      <w:r>
        <w:rPr>
          <w:rFonts w:hint="eastAsia" w:ascii="宋体" w:hAnsi="宋体" w:cs="宋体"/>
          <w:b/>
          <w:bCs/>
        </w:rPr>
        <w:t>九、最后报价</w:t>
      </w:r>
    </w:p>
    <w:p>
      <w:pPr>
        <w:spacing w:line="360" w:lineRule="auto"/>
        <w:rPr>
          <w:rFonts w:ascii="宋体" w:hAnsi="宋体" w:cs="宋体"/>
          <w:b/>
          <w:bCs/>
        </w:rPr>
      </w:pPr>
    </w:p>
    <w:p>
      <w:pPr>
        <w:spacing w:line="360" w:lineRule="auto"/>
        <w:rPr>
          <w:rFonts w:ascii="宋体" w:hAnsi="宋体" w:cs="宋体"/>
          <w:b/>
          <w:bCs/>
        </w:rPr>
      </w:pPr>
    </w:p>
    <w:p>
      <w:pPr>
        <w:spacing w:line="360" w:lineRule="auto"/>
        <w:rPr>
          <w:rFonts w:ascii="宋体" w:hAnsi="宋体" w:cs="宋体"/>
          <w:b/>
          <w:bCs/>
        </w:rPr>
      </w:pPr>
    </w:p>
    <w:p>
      <w:pPr>
        <w:spacing w:line="360" w:lineRule="auto"/>
        <w:rPr>
          <w:rFonts w:ascii="黑体" w:hAnsi="黑体" w:eastAsia="黑体" w:cs="黑体"/>
          <w:sz w:val="32"/>
          <w:szCs w:val="32"/>
        </w:rPr>
      </w:pPr>
    </w:p>
    <w:p>
      <w:pPr>
        <w:spacing w:line="360" w:lineRule="auto"/>
        <w:jc w:val="center"/>
        <w:rPr>
          <w:rFonts w:ascii="黑体" w:hAnsi="黑体" w:eastAsia="黑体" w:cs="Times New Roman"/>
          <w:sz w:val="32"/>
          <w:szCs w:val="32"/>
        </w:rPr>
      </w:pPr>
      <w:r>
        <w:rPr>
          <w:rFonts w:hint="eastAsia" w:ascii="黑体" w:hAnsi="黑体" w:eastAsia="黑体" w:cs="黑体"/>
          <w:sz w:val="32"/>
          <w:szCs w:val="32"/>
        </w:rPr>
        <w:t>一、谈判响应声明</w:t>
      </w:r>
    </w:p>
    <w:p>
      <w:pPr>
        <w:spacing w:line="360" w:lineRule="auto"/>
        <w:rPr>
          <w:rFonts w:ascii="仿宋_GB2312" w:hAnsi="仿宋_GB2312" w:eastAsia="仿宋_GB2312" w:cs="Times New Roman"/>
          <w:sz w:val="24"/>
          <w:szCs w:val="24"/>
        </w:rPr>
      </w:pPr>
    </w:p>
    <w:p>
      <w:pPr>
        <w:spacing w:line="360" w:lineRule="auto"/>
        <w:ind w:firstLine="420" w:firstLineChars="200"/>
        <w:rPr>
          <w:rFonts w:ascii="宋体" w:cs="Times New Roman"/>
        </w:rPr>
      </w:pPr>
      <w:r>
        <w:rPr>
          <w:rFonts w:hint="eastAsia" w:ascii="宋体" w:hAnsi="宋体" w:cs="宋体"/>
        </w:rPr>
        <w:t>致</w:t>
      </w:r>
      <w:r>
        <w:rPr>
          <w:rFonts w:ascii="宋体" w:hAnsi="宋体" w:cs="宋体"/>
        </w:rPr>
        <w:t xml:space="preserve"> </w:t>
      </w:r>
      <w:r>
        <w:rPr>
          <w:rFonts w:hint="eastAsia" w:ascii="宋体" w:hAnsi="宋体" w:cs="宋体"/>
          <w:u w:val="single"/>
        </w:rPr>
        <w:t xml:space="preserve">                </w:t>
      </w:r>
      <w:r>
        <w:rPr>
          <w:rFonts w:ascii="宋体" w:hAnsi="宋体" w:cs="宋体"/>
        </w:rPr>
        <w:t>(</w:t>
      </w:r>
      <w:r>
        <w:rPr>
          <w:rFonts w:hint="eastAsia" w:ascii="宋体" w:hAnsi="宋体" w:cs="宋体"/>
        </w:rPr>
        <w:t>采购人或采购代理机构</w:t>
      </w:r>
      <w:r>
        <w:rPr>
          <w:rFonts w:ascii="宋体" w:hAnsi="宋体" w:cs="宋体"/>
        </w:rPr>
        <w:t>)</w:t>
      </w:r>
      <w:r>
        <w:rPr>
          <w:rFonts w:hint="eastAsia" w:ascii="宋体" w:hAnsi="宋体" w:cs="宋体"/>
        </w:rPr>
        <w:t>：</w:t>
      </w:r>
    </w:p>
    <w:p>
      <w:pPr>
        <w:spacing w:line="360" w:lineRule="auto"/>
        <w:ind w:firstLine="420"/>
        <w:rPr>
          <w:rFonts w:ascii="宋体" w:cs="Times New Roman"/>
        </w:rPr>
      </w:pPr>
      <w:r>
        <w:rPr>
          <w:rFonts w:hint="eastAsia" w:ascii="宋体" w:hAnsi="宋体" w:cs="宋体"/>
        </w:rPr>
        <w:t>我方已仔细研究了</w:t>
      </w:r>
      <w:r>
        <w:rPr>
          <w:rFonts w:ascii="宋体" w:hAnsi="宋体" w:cs="宋体"/>
          <w:u w:val="single"/>
        </w:rPr>
        <w:t xml:space="preserve">            </w:t>
      </w:r>
      <w:r>
        <w:rPr>
          <w:rFonts w:hint="eastAsia" w:ascii="宋体" w:hAnsi="宋体" w:cs="宋体"/>
          <w:u w:val="single"/>
        </w:rPr>
        <w:t xml:space="preserve">  </w:t>
      </w:r>
      <w:r>
        <w:rPr>
          <w:rFonts w:ascii="宋体" w:hAnsi="宋体" w:cs="宋体"/>
          <w:u w:val="single"/>
        </w:rPr>
        <w:t xml:space="preserve">     (</w:t>
      </w:r>
      <w:r>
        <w:rPr>
          <w:rFonts w:hint="eastAsia" w:ascii="宋体" w:hAnsi="宋体" w:cs="宋体"/>
        </w:rPr>
        <w:t>项目名称</w:t>
      </w:r>
      <w:r>
        <w:rPr>
          <w:rFonts w:ascii="宋体" w:hAnsi="宋体" w:cs="宋体"/>
        </w:rPr>
        <w:t>)</w:t>
      </w:r>
      <w:r>
        <w:rPr>
          <w:rFonts w:hint="eastAsia" w:ascii="宋体" w:hAnsi="宋体" w:cs="宋体"/>
        </w:rPr>
        <w:t>的竞争性谈判文件（政府采购编号：</w:t>
      </w:r>
      <w:r>
        <w:rPr>
          <w:rFonts w:hint="eastAsia" w:ascii="宋体" w:hAnsi="宋体" w:cs="宋体"/>
          <w:u w:val="single"/>
        </w:rPr>
        <w:t xml:space="preserve">            </w:t>
      </w:r>
      <w:r>
        <w:rPr>
          <w:rFonts w:hint="eastAsia" w:ascii="宋体" w:hAnsi="宋体" w:cs="宋体"/>
        </w:rPr>
        <w:t>；采购代理编号：</w:t>
      </w:r>
      <w:r>
        <w:rPr>
          <w:rFonts w:hint="eastAsia" w:ascii="宋体" w:hAnsi="宋体" w:cs="宋体"/>
          <w:u w:val="single"/>
        </w:rPr>
        <w:t xml:space="preserve">               </w:t>
      </w:r>
      <w:r>
        <w:rPr>
          <w:rFonts w:hint="eastAsia" w:ascii="宋体" w:hAnsi="宋体" w:cs="宋体"/>
        </w:rPr>
        <w:t>）的全部内容，知悉参加竞争性谈判的风险，我方承诺接受谈判文件的全部条款且无任何异议。</w:t>
      </w:r>
    </w:p>
    <w:p>
      <w:pPr>
        <w:spacing w:line="360" w:lineRule="auto"/>
        <w:ind w:firstLine="420"/>
        <w:rPr>
          <w:rFonts w:ascii="宋体" w:cs="Times New Roman"/>
        </w:rPr>
      </w:pPr>
      <w:r>
        <w:rPr>
          <w:rFonts w:hint="eastAsia" w:ascii="宋体" w:hAnsi="宋体" w:cs="宋体"/>
        </w:rPr>
        <w:t>一、我方同意在谈判文件中规定的提交首次响应文件截止时间起</w:t>
      </w:r>
      <w:r>
        <w:rPr>
          <w:rFonts w:hint="eastAsia" w:ascii="宋体" w:hAnsi="宋体" w:cs="宋体"/>
          <w:u w:val="single"/>
        </w:rPr>
        <w:t xml:space="preserve">     </w:t>
      </w:r>
      <w:r>
        <w:rPr>
          <w:rFonts w:hint="eastAsia" w:ascii="宋体" w:hAnsi="宋体" w:cs="宋体"/>
        </w:rPr>
        <w:t>日内</w:t>
      </w:r>
      <w:r>
        <w:rPr>
          <w:rFonts w:ascii="宋体" w:hAnsi="宋体" w:cs="宋体"/>
        </w:rPr>
        <w:t>(</w:t>
      </w:r>
      <w:r>
        <w:rPr>
          <w:rFonts w:hint="eastAsia" w:ascii="宋体" w:hAnsi="宋体" w:cs="宋体"/>
        </w:rPr>
        <w:t>响应文件有效期</w:t>
      </w:r>
      <w:r>
        <w:rPr>
          <w:rFonts w:ascii="宋体" w:hAnsi="宋体" w:cs="宋体"/>
        </w:rPr>
        <w:t>)</w:t>
      </w:r>
      <w:r>
        <w:rPr>
          <w:rFonts w:hint="eastAsia" w:ascii="宋体" w:hAnsi="宋体" w:cs="宋体"/>
        </w:rPr>
        <w:t>遵守本响应文件中的承诺且在此期限期满之前均具有法律约束力。</w:t>
      </w:r>
    </w:p>
    <w:p>
      <w:pPr>
        <w:spacing w:line="360" w:lineRule="auto"/>
        <w:ind w:firstLine="420"/>
        <w:rPr>
          <w:rFonts w:ascii="宋体" w:cs="Times New Roman"/>
        </w:rPr>
      </w:pPr>
      <w:r>
        <w:rPr>
          <w:rFonts w:hint="eastAsia" w:ascii="宋体" w:hAnsi="宋体" w:cs="宋体"/>
        </w:rPr>
        <w:t>二、我方提交响应文件正本一份和副本一式</w:t>
      </w:r>
      <w:r>
        <w:rPr>
          <w:rFonts w:hint="eastAsia" w:ascii="宋体" w:hAnsi="宋体" w:cs="宋体"/>
          <w:u w:val="single"/>
        </w:rPr>
        <w:t xml:space="preserve">     </w:t>
      </w:r>
      <w:r>
        <w:rPr>
          <w:rFonts w:hint="eastAsia" w:ascii="宋体" w:hAnsi="宋体" w:cs="宋体"/>
        </w:rPr>
        <w:t>份，并保证响应文件提供的数据和材料是真实、准确的。否则，愿承担《政府采购法》第七十七条规定的法律责任。</w:t>
      </w:r>
    </w:p>
    <w:p>
      <w:pPr>
        <w:spacing w:line="360" w:lineRule="auto"/>
        <w:ind w:firstLine="420"/>
        <w:rPr>
          <w:rFonts w:ascii="宋体" w:cs="Times New Roman"/>
        </w:rPr>
      </w:pPr>
      <w:r>
        <w:rPr>
          <w:rFonts w:hint="eastAsia" w:ascii="宋体" w:hAnsi="宋体" w:cs="宋体"/>
        </w:rPr>
        <w:t>三、我方愿意向贵方提供任何与本项采购有关的数据、情况和技术资料。若贵方需要，我方愿意提供我方作出的一切承诺的证明材料。</w:t>
      </w:r>
    </w:p>
    <w:p>
      <w:pPr>
        <w:spacing w:line="360" w:lineRule="auto"/>
        <w:ind w:firstLine="420"/>
        <w:rPr>
          <w:rFonts w:ascii="宋体" w:cs="Times New Roman"/>
        </w:rPr>
      </w:pPr>
      <w:r>
        <w:rPr>
          <w:rFonts w:hint="eastAsia" w:ascii="宋体" w:hAnsi="宋体" w:cs="宋体"/>
        </w:rPr>
        <w:t>四、我方愿意按谈判文件规定和谈判小组要求重新提交响应文件和最后报价。</w:t>
      </w:r>
    </w:p>
    <w:p>
      <w:pPr>
        <w:spacing w:line="360" w:lineRule="auto"/>
        <w:ind w:firstLine="420"/>
        <w:rPr>
          <w:rFonts w:ascii="宋体" w:cs="Times New Roman"/>
        </w:rPr>
      </w:pPr>
      <w:r>
        <w:rPr>
          <w:rFonts w:hint="eastAsia" w:ascii="宋体" w:hAnsi="宋体" w:cs="宋体"/>
        </w:rPr>
        <w:t>五、我方承诺遵守《中华人民共和国政府采购法》的有关规定，保证在获得成交资格后，按照谈判文件确定的事项签订政府采购合同，履行双方所签订的合同，并承担合同规定的责任和义务。</w:t>
      </w:r>
    </w:p>
    <w:p>
      <w:pPr>
        <w:spacing w:line="360" w:lineRule="auto"/>
        <w:ind w:right="24"/>
        <w:rPr>
          <w:rFonts w:ascii="宋体" w:cs="Times New Roman"/>
        </w:rPr>
      </w:pPr>
    </w:p>
    <w:p>
      <w:pPr>
        <w:spacing w:line="360" w:lineRule="auto"/>
        <w:ind w:right="24"/>
        <w:rPr>
          <w:rFonts w:ascii="宋体" w:cs="Times New Roman"/>
        </w:rPr>
      </w:pPr>
    </w:p>
    <w:p>
      <w:pPr>
        <w:spacing w:line="360" w:lineRule="auto"/>
        <w:ind w:right="24"/>
        <w:rPr>
          <w:rFonts w:ascii="宋体" w:cs="Times New Roman"/>
        </w:rPr>
      </w:pPr>
      <w:r>
        <w:rPr>
          <w:rFonts w:hint="eastAsia" w:ascii="宋体" w:hAnsi="宋体" w:cs="宋体"/>
        </w:rPr>
        <w:t>附件</w:t>
      </w:r>
      <w:r>
        <w:rPr>
          <w:rFonts w:ascii="宋体" w:hAnsi="宋体" w:cs="宋体"/>
        </w:rPr>
        <w:t>1</w:t>
      </w:r>
      <w:r>
        <w:rPr>
          <w:rFonts w:hint="eastAsia" w:ascii="宋体" w:hAnsi="宋体" w:cs="宋体"/>
        </w:rPr>
        <w:t>：法定代表人身份证明</w:t>
      </w:r>
      <w:r>
        <w:rPr>
          <w:rFonts w:ascii="宋体" w:hAnsi="宋体" w:cs="宋体"/>
        </w:rPr>
        <w:t>(</w:t>
      </w:r>
      <w:r>
        <w:rPr>
          <w:rFonts w:hint="eastAsia" w:ascii="宋体" w:hAnsi="宋体" w:cs="宋体"/>
        </w:rPr>
        <w:t>法定代表人参加谈判</w:t>
      </w:r>
      <w:r>
        <w:rPr>
          <w:rFonts w:ascii="宋体" w:hAnsi="宋体" w:cs="宋体"/>
        </w:rPr>
        <w:t>)</w:t>
      </w:r>
    </w:p>
    <w:p>
      <w:pPr>
        <w:spacing w:line="360" w:lineRule="auto"/>
        <w:ind w:right="24"/>
        <w:rPr>
          <w:rFonts w:ascii="宋体" w:cs="Times New Roman"/>
        </w:rPr>
      </w:pPr>
      <w:r>
        <w:rPr>
          <w:rFonts w:hint="eastAsia" w:ascii="宋体" w:hAnsi="宋体" w:cs="宋体"/>
        </w:rPr>
        <w:t>附件</w:t>
      </w:r>
      <w:r>
        <w:rPr>
          <w:rFonts w:ascii="宋体" w:hAnsi="宋体" w:cs="宋体"/>
        </w:rPr>
        <w:t>2</w:t>
      </w:r>
      <w:r>
        <w:rPr>
          <w:rFonts w:hint="eastAsia" w:ascii="宋体" w:hAnsi="宋体" w:cs="宋体"/>
        </w:rPr>
        <w:t>：法定代表人授权书</w:t>
      </w:r>
      <w:r>
        <w:rPr>
          <w:rFonts w:ascii="宋体" w:hAnsi="宋体" w:cs="宋体"/>
        </w:rPr>
        <w:t>(</w:t>
      </w:r>
      <w:r>
        <w:rPr>
          <w:rFonts w:hint="eastAsia" w:ascii="宋体" w:hAnsi="宋体" w:cs="宋体"/>
        </w:rPr>
        <w:t>委托代理人参加谈判</w:t>
      </w:r>
      <w:r>
        <w:rPr>
          <w:rFonts w:ascii="宋体" w:hAnsi="宋体" w:cs="宋体"/>
        </w:rPr>
        <w:t>)</w:t>
      </w:r>
    </w:p>
    <w:p>
      <w:pPr>
        <w:spacing w:line="360" w:lineRule="auto"/>
        <w:rPr>
          <w:rFonts w:ascii="宋体" w:hAnsi="宋体" w:cs="宋体"/>
        </w:rPr>
      </w:pPr>
    </w:p>
    <w:p>
      <w:pPr>
        <w:spacing w:line="360" w:lineRule="auto"/>
        <w:rPr>
          <w:rFonts w:ascii="宋体" w:cs="Times New Roman"/>
        </w:rPr>
      </w:pPr>
    </w:p>
    <w:p>
      <w:pPr>
        <w:spacing w:line="360" w:lineRule="auto"/>
        <w:rPr>
          <w:rFonts w:ascii="宋体" w:cs="Times New Roman"/>
        </w:rPr>
      </w:pPr>
    </w:p>
    <w:p>
      <w:pPr>
        <w:spacing w:line="360" w:lineRule="auto"/>
        <w:rPr>
          <w:rFonts w:ascii="宋体" w:cs="Times New Roman"/>
        </w:rPr>
      </w:pPr>
      <w:r>
        <w:rPr>
          <w:rFonts w:hint="eastAsia" w:ascii="宋体" w:hAnsi="宋体" w:cs="宋体"/>
        </w:rPr>
        <w:t>供应商名称</w:t>
      </w:r>
      <w:r>
        <w:rPr>
          <w:rFonts w:ascii="宋体" w:hAnsi="宋体" w:cs="宋体"/>
        </w:rPr>
        <w:t>(</w:t>
      </w:r>
      <w:r>
        <w:rPr>
          <w:rFonts w:hint="eastAsia" w:ascii="宋体" w:hAnsi="宋体" w:cs="宋体"/>
        </w:rPr>
        <w:t>盖单位章</w:t>
      </w:r>
      <w:r>
        <w:rPr>
          <w:rFonts w:ascii="宋体" w:hAnsi="宋体" w:cs="宋体"/>
        </w:rPr>
        <w:t>)</w:t>
      </w:r>
      <w:r>
        <w:rPr>
          <w:rFonts w:hint="eastAsia" w:ascii="宋体" w:hAnsi="宋体" w:cs="宋体"/>
        </w:rPr>
        <w:t>：</w:t>
      </w:r>
    </w:p>
    <w:p>
      <w:pPr>
        <w:spacing w:line="360" w:lineRule="auto"/>
        <w:rPr>
          <w:rFonts w:ascii="宋体" w:cs="Times New Roman"/>
        </w:rPr>
      </w:pPr>
      <w:r>
        <w:rPr>
          <w:rFonts w:hint="eastAsia" w:ascii="宋体" w:hAnsi="宋体" w:cs="宋体"/>
        </w:rPr>
        <w:t>法定代表人或其委托代理人</w:t>
      </w:r>
      <w:r>
        <w:rPr>
          <w:rFonts w:ascii="宋体" w:hAnsi="宋体" w:cs="宋体"/>
        </w:rPr>
        <w:t xml:space="preserve"> (</w:t>
      </w:r>
      <w:r>
        <w:rPr>
          <w:rFonts w:hint="eastAsia" w:ascii="宋体" w:hAnsi="宋体" w:cs="宋体"/>
        </w:rPr>
        <w:t>签字</w:t>
      </w:r>
      <w:r>
        <w:rPr>
          <w:rFonts w:ascii="宋体" w:hAnsi="宋体" w:cs="宋体"/>
        </w:rPr>
        <w:t>)</w:t>
      </w:r>
      <w:r>
        <w:rPr>
          <w:rFonts w:hint="eastAsia" w:ascii="宋体" w:hAnsi="宋体" w:cs="宋体"/>
        </w:rPr>
        <w:t>：</w:t>
      </w:r>
    </w:p>
    <w:p>
      <w:pPr>
        <w:spacing w:line="360" w:lineRule="auto"/>
        <w:rPr>
          <w:rFonts w:ascii="宋体" w:hAnsi="宋体" w:cs="宋体"/>
        </w:rPr>
      </w:pPr>
      <w:r>
        <w:rPr>
          <w:rFonts w:hint="eastAsia" w:ascii="宋体" w:hAnsi="宋体" w:cs="宋体"/>
        </w:rPr>
        <w:t>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ind w:right="24"/>
        <w:rPr>
          <w:rFonts w:cs="黑体" w:asciiTheme="minorEastAsia" w:hAnsiTheme="minorEastAsia" w:eastAsiaTheme="minorEastAsia"/>
          <w:sz w:val="32"/>
          <w:szCs w:val="32"/>
        </w:rPr>
      </w:pPr>
      <w:r>
        <w:rPr>
          <w:rFonts w:hint="eastAsia" w:ascii="黑体" w:hAnsi="黑体" w:eastAsia="黑体" w:cs="黑体"/>
          <w:sz w:val="32"/>
          <w:szCs w:val="32"/>
        </w:rPr>
        <w:t>附件</w:t>
      </w:r>
      <w:r>
        <w:rPr>
          <w:rFonts w:ascii="黑体" w:hAnsi="黑体" w:eastAsia="黑体" w:cs="黑体"/>
          <w:sz w:val="32"/>
          <w:szCs w:val="32"/>
        </w:rPr>
        <w:t>1</w:t>
      </w:r>
      <w:r>
        <w:rPr>
          <w:rFonts w:hint="eastAsia" w:cs="黑体" w:asciiTheme="minorEastAsia" w:hAnsiTheme="minorEastAsia" w:eastAsiaTheme="minorEastAsia"/>
          <w:sz w:val="32"/>
          <w:szCs w:val="32"/>
        </w:rPr>
        <w:t>：</w:t>
      </w:r>
    </w:p>
    <w:p>
      <w:pPr>
        <w:spacing w:line="360" w:lineRule="auto"/>
        <w:jc w:val="center"/>
        <w:rPr>
          <w:rFonts w:ascii="黑体" w:hAnsi="黑体" w:eastAsia="黑体" w:cs="黑体"/>
          <w:sz w:val="32"/>
          <w:szCs w:val="32"/>
        </w:rPr>
      </w:pPr>
      <w:r>
        <w:rPr>
          <w:rFonts w:hint="eastAsia" w:ascii="黑体" w:hAnsi="黑体" w:eastAsia="黑体" w:cs="黑体"/>
          <w:sz w:val="32"/>
          <w:szCs w:val="32"/>
        </w:rPr>
        <w:t>法定代表人身份证明</w:t>
      </w:r>
      <w:r>
        <w:rPr>
          <w:rFonts w:ascii="黑体" w:hAnsi="黑体" w:eastAsia="黑体" w:cs="黑体"/>
          <w:sz w:val="32"/>
          <w:szCs w:val="32"/>
        </w:rPr>
        <w:t>(</w:t>
      </w:r>
      <w:r>
        <w:rPr>
          <w:rFonts w:hint="eastAsia" w:ascii="黑体" w:hAnsi="黑体" w:eastAsia="黑体" w:cs="黑体"/>
          <w:sz w:val="32"/>
          <w:szCs w:val="32"/>
        </w:rPr>
        <w:t>法定代表人参加谈判</w:t>
      </w:r>
      <w:r>
        <w:rPr>
          <w:rFonts w:ascii="黑体" w:hAnsi="黑体" w:eastAsia="黑体" w:cs="黑体"/>
          <w:sz w:val="32"/>
          <w:szCs w:val="32"/>
        </w:rPr>
        <w:t>)</w:t>
      </w:r>
    </w:p>
    <w:p>
      <w:pPr>
        <w:spacing w:line="360" w:lineRule="auto"/>
        <w:jc w:val="left"/>
        <w:rPr>
          <w:rFonts w:ascii="宋体" w:cs="Times New Roman"/>
          <w:u w:val="single"/>
        </w:rPr>
      </w:pPr>
      <w:r>
        <w:rPr>
          <w:rFonts w:hint="eastAsia" w:ascii="宋体" w:hAnsi="宋体" w:cs="宋体"/>
        </w:rPr>
        <w:t>供应商名称：</w:t>
      </w:r>
      <w:r>
        <w:rPr>
          <w:rFonts w:hint="eastAsia" w:ascii="宋体" w:hAnsi="宋体" w:cs="宋体"/>
          <w:u w:val="single"/>
        </w:rPr>
        <w:t xml:space="preserve">                                </w:t>
      </w:r>
    </w:p>
    <w:p>
      <w:pPr>
        <w:spacing w:line="360" w:lineRule="auto"/>
        <w:jc w:val="left"/>
        <w:rPr>
          <w:rFonts w:ascii="宋体" w:cs="Times New Roman"/>
          <w:u w:val="single"/>
        </w:rPr>
      </w:pPr>
      <w:r>
        <w:rPr>
          <w:rFonts w:hint="eastAsia" w:ascii="宋体" w:hAnsi="宋体" w:cs="宋体"/>
        </w:rPr>
        <w:t>注册号：</w:t>
      </w:r>
      <w:r>
        <w:rPr>
          <w:rFonts w:hint="eastAsia" w:ascii="宋体" w:hAnsi="宋体" w:cs="宋体"/>
          <w:u w:val="single"/>
        </w:rPr>
        <w:t xml:space="preserve">                              </w:t>
      </w:r>
      <w:r>
        <w:rPr>
          <w:rFonts w:hint="eastAsia" w:ascii="宋体" w:hAnsi="宋体" w:cs="宋体"/>
        </w:rPr>
        <w:t xml:space="preserve">               </w:t>
      </w:r>
    </w:p>
    <w:p>
      <w:pPr>
        <w:spacing w:line="360" w:lineRule="auto"/>
        <w:jc w:val="left"/>
        <w:rPr>
          <w:rFonts w:ascii="宋体" w:cs="Times New Roman"/>
          <w:u w:val="single"/>
        </w:rPr>
      </w:pPr>
      <w:r>
        <w:rPr>
          <w:rFonts w:hint="eastAsia" w:ascii="宋体" w:hAnsi="宋体" w:cs="宋体"/>
        </w:rPr>
        <w:t>注册地址：</w:t>
      </w:r>
      <w:r>
        <w:rPr>
          <w:rFonts w:hint="eastAsia" w:ascii="宋体" w:hAnsi="宋体" w:cs="宋体"/>
          <w:u w:val="single"/>
        </w:rPr>
        <w:t xml:space="preserve">                                  </w:t>
      </w:r>
    </w:p>
    <w:p>
      <w:pPr>
        <w:spacing w:line="360" w:lineRule="auto"/>
        <w:jc w:val="left"/>
        <w:rPr>
          <w:rFonts w:ascii="宋体" w:cs="Times New Roman"/>
        </w:rPr>
      </w:pPr>
      <w:r>
        <w:rPr>
          <w:rFonts w:hint="eastAsia" w:ascii="宋体" w:hAnsi="宋体" w:cs="宋体"/>
        </w:rPr>
        <w:t>成立时间：</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spacing w:line="360" w:lineRule="auto"/>
        <w:jc w:val="left"/>
        <w:rPr>
          <w:rFonts w:ascii="宋体" w:cs="Times New Roman"/>
          <w:u w:val="single"/>
        </w:rPr>
      </w:pPr>
      <w:r>
        <w:rPr>
          <w:rFonts w:hint="eastAsia" w:ascii="宋体" w:hAnsi="宋体" w:cs="宋体"/>
        </w:rPr>
        <w:t>经营期限：</w:t>
      </w:r>
      <w:r>
        <w:rPr>
          <w:rFonts w:hint="eastAsia" w:ascii="宋体" w:hAnsi="宋体" w:cs="宋体"/>
          <w:u w:val="single"/>
        </w:rPr>
        <w:t xml:space="preserve">                           </w:t>
      </w:r>
    </w:p>
    <w:p>
      <w:pPr>
        <w:spacing w:line="360" w:lineRule="auto"/>
        <w:jc w:val="left"/>
        <w:rPr>
          <w:rFonts w:ascii="宋体" w:cs="Times New Roman"/>
          <w:u w:val="single"/>
        </w:rPr>
      </w:pPr>
      <w:r>
        <w:rPr>
          <w:rFonts w:hint="eastAsia" w:ascii="宋体" w:hAnsi="宋体" w:cs="宋体"/>
        </w:rPr>
        <w:t>经营范围：主营：</w:t>
      </w:r>
      <w:r>
        <w:rPr>
          <w:rFonts w:hint="eastAsia" w:ascii="宋体" w:hAnsi="宋体" w:cs="宋体"/>
          <w:u w:val="single"/>
        </w:rPr>
        <w:t xml:space="preserve">                      </w:t>
      </w:r>
      <w:r>
        <w:rPr>
          <w:rFonts w:hint="eastAsia" w:ascii="宋体" w:hAnsi="宋体" w:cs="宋体"/>
        </w:rPr>
        <w:t>；兼营：</w:t>
      </w:r>
      <w:r>
        <w:rPr>
          <w:rFonts w:hint="eastAsia" w:ascii="宋体" w:hAnsi="宋体" w:cs="宋体"/>
          <w:u w:val="single"/>
        </w:rPr>
        <w:t xml:space="preserve">                      </w:t>
      </w:r>
    </w:p>
    <w:p>
      <w:pPr>
        <w:spacing w:line="360" w:lineRule="auto"/>
        <w:jc w:val="left"/>
        <w:rPr>
          <w:rFonts w:ascii="宋体" w:cs="Times New Roman"/>
        </w:rPr>
      </w:pPr>
      <w:r>
        <w:rPr>
          <w:rFonts w:hint="eastAsia" w:ascii="宋体" w:hAnsi="宋体" w:cs="宋体"/>
        </w:rPr>
        <w:t>姓名：</w:t>
      </w:r>
      <w:r>
        <w:rPr>
          <w:rFonts w:hint="eastAsia" w:ascii="宋体" w:hAnsi="宋体" w:cs="宋体"/>
          <w:u w:val="single"/>
        </w:rPr>
        <w:t xml:space="preserve">          </w:t>
      </w:r>
      <w:r>
        <w:rPr>
          <w:rFonts w:hint="eastAsia" w:ascii="宋体" w:hAnsi="宋体" w:cs="宋体"/>
        </w:rPr>
        <w:t>性别：</w:t>
      </w:r>
      <w:r>
        <w:rPr>
          <w:rFonts w:hint="eastAsia" w:ascii="宋体" w:hAnsi="宋体" w:cs="宋体"/>
          <w:u w:val="single"/>
        </w:rPr>
        <w:t xml:space="preserve">     </w:t>
      </w:r>
      <w:r>
        <w:rPr>
          <w:rFonts w:hint="eastAsia" w:ascii="宋体" w:hAnsi="宋体" w:cs="宋体"/>
        </w:rPr>
        <w:t>年龄：</w:t>
      </w:r>
      <w:r>
        <w:rPr>
          <w:rFonts w:hint="eastAsia" w:ascii="宋体" w:hAnsi="宋体" w:cs="宋体"/>
          <w:u w:val="single"/>
        </w:rPr>
        <w:t xml:space="preserve">      </w:t>
      </w:r>
      <w:r>
        <w:rPr>
          <w:rFonts w:hint="eastAsia" w:ascii="宋体" w:hAnsi="宋体" w:cs="宋体"/>
        </w:rPr>
        <w:t>系</w:t>
      </w:r>
      <w:r>
        <w:rPr>
          <w:rFonts w:hint="eastAsia" w:ascii="宋体" w:hAnsi="宋体" w:cs="宋体"/>
          <w:u w:val="single"/>
        </w:rPr>
        <w:t xml:space="preserve">          </w:t>
      </w:r>
      <w:r>
        <w:rPr>
          <w:rFonts w:hint="eastAsia" w:ascii="宋体" w:hAnsi="宋体" w:cs="宋体"/>
        </w:rPr>
        <w:t>（供应商名称）的法定代表人。</w:t>
      </w:r>
    </w:p>
    <w:p>
      <w:pPr>
        <w:spacing w:line="360" w:lineRule="auto"/>
        <w:jc w:val="left"/>
        <w:rPr>
          <w:rFonts w:ascii="宋体" w:cs="Times New Roman"/>
        </w:rPr>
      </w:pPr>
      <w:r>
        <w:rPr>
          <w:rFonts w:hint="eastAsia" w:ascii="宋体" w:hAnsi="宋体" w:cs="宋体"/>
        </w:rPr>
        <w:t>特此证明。</w:t>
      </w:r>
    </w:p>
    <w:p>
      <w:pPr>
        <w:spacing w:line="360" w:lineRule="auto"/>
        <w:jc w:val="left"/>
        <w:rPr>
          <w:rFonts w:ascii="宋体" w:hAnsi="宋体" w:cs="宋体"/>
        </w:rPr>
      </w:pPr>
      <w:r>
        <w:rPr>
          <w:rFonts w:hint="eastAsia" w:ascii="宋体" w:hAnsi="宋体" w:cs="宋体"/>
        </w:rPr>
        <w:t>附：法定代表人身份证复印件</w:t>
      </w:r>
    </w:p>
    <w:p>
      <w:pPr>
        <w:spacing w:line="360" w:lineRule="auto"/>
        <w:jc w:val="left"/>
        <w:rPr>
          <w:rFonts w:ascii="宋体" w:hAnsi="宋体" w:cs="宋体"/>
        </w:rPr>
      </w:pPr>
    </w:p>
    <w:p>
      <w:pPr>
        <w:spacing w:line="360" w:lineRule="auto"/>
        <w:jc w:val="left"/>
        <w:rPr>
          <w:rFonts w:ascii="宋体" w:hAnsi="宋体" w:cs="宋体"/>
        </w:rPr>
      </w:pPr>
    </w:p>
    <w:p>
      <w:pPr>
        <w:spacing w:line="360" w:lineRule="auto"/>
        <w:jc w:val="left"/>
        <w:rPr>
          <w:rFonts w:ascii="宋体" w:cs="Times New Roman"/>
        </w:rPr>
      </w:pPr>
    </w:p>
    <w:p>
      <w:pPr>
        <w:spacing w:line="360" w:lineRule="auto"/>
        <w:ind w:right="420"/>
        <w:rPr>
          <w:rFonts w:ascii="宋体" w:cs="Times New Roman"/>
        </w:rPr>
      </w:pPr>
      <w:r>
        <w:rPr>
          <w:rFonts w:hint="eastAsia" w:ascii="宋体" w:hAnsi="宋体" w:cs="宋体"/>
        </w:rPr>
        <w:t>供应商名称（盖单位章）：</w:t>
      </w:r>
    </w:p>
    <w:p>
      <w:pPr>
        <w:spacing w:line="360" w:lineRule="auto"/>
        <w:ind w:right="420"/>
        <w:rPr>
          <w:rFonts w:ascii="宋体" w:hAnsi="宋体" w:cs="宋体"/>
        </w:rPr>
      </w:pPr>
      <w:r>
        <w:rPr>
          <w:rFonts w:hint="eastAsia" w:ascii="宋体" w:hAnsi="宋体" w:cs="宋体"/>
        </w:rPr>
        <w:t>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360" w:lineRule="auto"/>
        <w:ind w:right="420"/>
        <w:rPr>
          <w:rFonts w:ascii="宋体" w:hAnsi="宋体" w:cs="宋体"/>
        </w:rPr>
      </w:pPr>
    </w:p>
    <w:p>
      <w:pPr>
        <w:spacing w:line="480" w:lineRule="auto"/>
        <w:rPr>
          <w:rFonts w:ascii="黑体" w:hAnsi="黑体" w:eastAsia="黑体" w:cs="黑体"/>
          <w:sz w:val="32"/>
          <w:szCs w:val="32"/>
        </w:rPr>
      </w:pPr>
      <w:r>
        <w:rPr>
          <w:rFonts w:hint="eastAsia" w:ascii="黑体" w:hAnsi="黑体" w:eastAsia="黑体" w:cs="黑体"/>
          <w:sz w:val="32"/>
          <w:szCs w:val="32"/>
        </w:rPr>
        <w:t>附件</w:t>
      </w:r>
      <w:r>
        <w:rPr>
          <w:rFonts w:ascii="黑体" w:hAnsi="黑体" w:eastAsia="黑体" w:cs="黑体"/>
          <w:sz w:val="32"/>
          <w:szCs w:val="32"/>
        </w:rPr>
        <w:t>2</w:t>
      </w:r>
      <w:r>
        <w:rPr>
          <w:rFonts w:hint="eastAsia" w:ascii="黑体" w:hAnsi="黑体" w:eastAsia="黑体" w:cs="黑体"/>
          <w:sz w:val="32"/>
          <w:szCs w:val="32"/>
        </w:rPr>
        <w:t>：</w:t>
      </w:r>
    </w:p>
    <w:p>
      <w:pPr>
        <w:spacing w:line="360" w:lineRule="auto"/>
        <w:jc w:val="center"/>
        <w:rPr>
          <w:rFonts w:ascii="黑体" w:hAnsi="黑体" w:eastAsia="黑体" w:cs="黑体"/>
          <w:sz w:val="32"/>
          <w:szCs w:val="32"/>
        </w:rPr>
      </w:pPr>
      <w:r>
        <w:rPr>
          <w:rFonts w:hint="eastAsia" w:ascii="黑体" w:hAnsi="黑体" w:eastAsia="黑体" w:cs="黑体"/>
          <w:sz w:val="32"/>
          <w:szCs w:val="32"/>
        </w:rPr>
        <w:t>法定代表人授权书</w:t>
      </w:r>
      <w:r>
        <w:rPr>
          <w:rFonts w:ascii="黑体" w:hAnsi="黑体" w:eastAsia="黑体" w:cs="黑体"/>
          <w:sz w:val="32"/>
          <w:szCs w:val="32"/>
        </w:rPr>
        <w:t>(</w:t>
      </w:r>
      <w:r>
        <w:rPr>
          <w:rFonts w:hint="eastAsia" w:ascii="黑体" w:hAnsi="黑体" w:eastAsia="黑体" w:cs="黑体"/>
          <w:sz w:val="32"/>
          <w:szCs w:val="32"/>
        </w:rPr>
        <w:t>委托代理人参加谈判</w:t>
      </w:r>
      <w:r>
        <w:rPr>
          <w:rFonts w:ascii="黑体" w:hAnsi="黑体" w:eastAsia="黑体" w:cs="黑体"/>
          <w:sz w:val="32"/>
          <w:szCs w:val="32"/>
        </w:rPr>
        <w:t>)</w:t>
      </w:r>
    </w:p>
    <w:p>
      <w:pPr>
        <w:spacing w:line="360" w:lineRule="auto"/>
        <w:ind w:firstLine="420"/>
        <w:jc w:val="left"/>
        <w:rPr>
          <w:rFonts w:ascii="宋体" w:cs="Times New Roman"/>
        </w:rPr>
      </w:pPr>
    </w:p>
    <w:p>
      <w:pPr>
        <w:spacing w:line="360" w:lineRule="auto"/>
        <w:ind w:firstLine="420"/>
        <w:jc w:val="left"/>
        <w:rPr>
          <w:rFonts w:ascii="宋体" w:cs="Times New Roman"/>
        </w:rPr>
      </w:pPr>
      <w:r>
        <w:rPr>
          <w:rFonts w:hint="eastAsia" w:ascii="宋体" w:hAnsi="宋体" w:cs="宋体"/>
        </w:rPr>
        <w:t>本人</w:t>
      </w:r>
      <w:r>
        <w:rPr>
          <w:rFonts w:hint="eastAsia" w:ascii="宋体" w:hAnsi="宋体" w:cs="宋体"/>
          <w:u w:val="single"/>
        </w:rPr>
        <w:t xml:space="preserve">          </w:t>
      </w:r>
      <w:r>
        <w:rPr>
          <w:rFonts w:hint="eastAsia" w:ascii="宋体" w:hAnsi="宋体" w:cs="宋体"/>
        </w:rPr>
        <w:t>（姓名、职务）系</w:t>
      </w:r>
      <w:r>
        <w:rPr>
          <w:rFonts w:hint="eastAsia" w:ascii="宋体" w:hAnsi="宋体" w:cs="宋体"/>
          <w:u w:val="single"/>
        </w:rPr>
        <w:t xml:space="preserve">            </w:t>
      </w:r>
      <w:r>
        <w:rPr>
          <w:rFonts w:hint="eastAsia" w:ascii="宋体" w:hAnsi="宋体" w:cs="宋体"/>
        </w:rPr>
        <w:t>（供应商名称）的法定代表人，现授权</w:t>
      </w:r>
      <w:r>
        <w:rPr>
          <w:rFonts w:hint="eastAsia" w:ascii="宋体" w:hAnsi="宋体" w:cs="宋体"/>
          <w:u w:val="single"/>
        </w:rPr>
        <w:t xml:space="preserve">             </w:t>
      </w:r>
      <w:r>
        <w:rPr>
          <w:rFonts w:hint="eastAsia" w:ascii="宋体" w:hAnsi="宋体" w:cs="宋体"/>
        </w:rPr>
        <w:t>（姓名、职务）为我方代理人。代理人根据授权，以我方名义：</w:t>
      </w:r>
      <w:r>
        <w:rPr>
          <w:rFonts w:ascii="宋体" w:hAnsi="宋体" w:cs="宋体"/>
        </w:rPr>
        <w:t>(1)</w:t>
      </w:r>
      <w:r>
        <w:rPr>
          <w:rFonts w:hint="eastAsia" w:ascii="宋体" w:hAnsi="宋体" w:cs="宋体"/>
        </w:rPr>
        <w:t>签署、澄清、补正、修改、撤回、提交</w:t>
      </w:r>
      <w:r>
        <w:rPr>
          <w:rFonts w:hint="eastAsia" w:ascii="宋体" w:hAnsi="宋体" w:cs="宋体"/>
          <w:u w:val="single"/>
        </w:rPr>
        <w:t xml:space="preserve">                         </w:t>
      </w:r>
      <w:r>
        <w:rPr>
          <w:rFonts w:hint="eastAsia" w:ascii="宋体" w:hAnsi="宋体" w:cs="宋体"/>
        </w:rPr>
        <w:t>（项目名称、政府采购编号、采购代理机构编号）响应文件；</w:t>
      </w:r>
      <w:r>
        <w:rPr>
          <w:rFonts w:ascii="宋体" w:hAnsi="宋体" w:cs="宋体"/>
        </w:rPr>
        <w:t>(2)</w:t>
      </w:r>
      <w:r>
        <w:rPr>
          <w:rFonts w:hint="eastAsia" w:ascii="宋体" w:hAnsi="宋体" w:cs="宋体"/>
        </w:rPr>
        <w:t>签署并重新提交响应文件及最后报价；</w:t>
      </w:r>
      <w:r>
        <w:rPr>
          <w:rFonts w:ascii="宋体" w:hAnsi="宋体" w:cs="宋体"/>
        </w:rPr>
        <w:t>(3)</w:t>
      </w:r>
      <w:r>
        <w:rPr>
          <w:rFonts w:hint="eastAsia" w:ascii="宋体" w:hAnsi="宋体" w:cs="宋体"/>
        </w:rPr>
        <w:t>退出谈判；</w:t>
      </w:r>
      <w:r>
        <w:rPr>
          <w:rFonts w:ascii="宋体" w:hAnsi="宋体" w:cs="宋体"/>
        </w:rPr>
        <w:t>(4)</w:t>
      </w:r>
      <w:r>
        <w:rPr>
          <w:rFonts w:hint="eastAsia" w:ascii="宋体" w:hAnsi="宋体" w:cs="宋体"/>
        </w:rPr>
        <w:t>签订合同和处理有关事宜，其法律后果由我方承担。</w:t>
      </w:r>
    </w:p>
    <w:p>
      <w:pPr>
        <w:spacing w:line="360" w:lineRule="auto"/>
        <w:ind w:firstLine="420"/>
        <w:jc w:val="left"/>
        <w:rPr>
          <w:rFonts w:ascii="宋体" w:cs="Times New Roman"/>
          <w:u w:val="single"/>
        </w:rPr>
      </w:pPr>
      <w:r>
        <w:rPr>
          <w:rFonts w:hint="eastAsia" w:ascii="宋体" w:hAnsi="宋体" w:cs="宋体"/>
        </w:rPr>
        <w:t>委托期限：</w:t>
      </w:r>
      <w:r>
        <w:rPr>
          <w:rFonts w:hint="eastAsia" w:ascii="宋体" w:hAnsi="宋体" w:cs="宋体"/>
          <w:u w:val="single"/>
        </w:rPr>
        <w:t xml:space="preserve">                         </w:t>
      </w:r>
    </w:p>
    <w:p>
      <w:pPr>
        <w:spacing w:line="360" w:lineRule="auto"/>
        <w:ind w:firstLine="435"/>
        <w:rPr>
          <w:rFonts w:ascii="宋体" w:cs="Times New Roman"/>
        </w:rPr>
      </w:pPr>
      <w:r>
        <w:rPr>
          <w:rFonts w:hint="eastAsia" w:ascii="宋体" w:hAnsi="宋体" w:cs="宋体"/>
        </w:rPr>
        <w:t>代理人无转委托权。</w:t>
      </w:r>
    </w:p>
    <w:p>
      <w:pPr>
        <w:spacing w:line="360" w:lineRule="auto"/>
        <w:ind w:firstLine="435"/>
        <w:rPr>
          <w:rFonts w:ascii="宋体" w:cs="Times New Roman"/>
        </w:rPr>
      </w:pPr>
      <w:r>
        <w:rPr>
          <w:rFonts w:hint="eastAsia" w:ascii="宋体" w:hAnsi="宋体" w:cs="宋体"/>
        </w:rPr>
        <w:t>本授权书于</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日签字生效，特此声明。</w:t>
      </w:r>
    </w:p>
    <w:p>
      <w:pPr>
        <w:spacing w:line="360" w:lineRule="auto"/>
        <w:ind w:firstLine="420"/>
        <w:rPr>
          <w:rFonts w:ascii="宋体" w:hAnsi="宋体" w:cs="宋体"/>
        </w:rPr>
      </w:pPr>
      <w:r>
        <w:rPr>
          <w:rFonts w:hint="eastAsia" w:ascii="宋体" w:hAnsi="宋体" w:cs="宋体"/>
        </w:rPr>
        <w:t>附：委托代理人身份证复印件及法定代表人身份证明</w:t>
      </w:r>
      <w:r>
        <w:rPr>
          <w:rFonts w:ascii="宋体" w:hAnsi="宋体" w:cs="宋体"/>
        </w:rPr>
        <w:t>(</w:t>
      </w:r>
      <w:r>
        <w:rPr>
          <w:rFonts w:hint="eastAsia" w:ascii="宋体" w:hAnsi="宋体" w:cs="宋体"/>
        </w:rPr>
        <w:t>附件</w:t>
      </w:r>
      <w:r>
        <w:rPr>
          <w:rFonts w:ascii="宋体" w:hAnsi="宋体" w:cs="宋体"/>
        </w:rPr>
        <w:t>1</w:t>
      </w:r>
      <w:r>
        <w:rPr>
          <w:rFonts w:hint="eastAsia" w:ascii="宋体" w:hAnsi="宋体" w:cs="宋体"/>
        </w:rPr>
        <w:t>，原件</w:t>
      </w:r>
      <w:r>
        <w:rPr>
          <w:rFonts w:ascii="宋体" w:hAnsi="宋体" w:cs="宋体"/>
        </w:rPr>
        <w:t>)</w:t>
      </w:r>
    </w:p>
    <w:p>
      <w:pPr>
        <w:spacing w:line="360" w:lineRule="auto"/>
        <w:ind w:firstLine="420"/>
        <w:rPr>
          <w:rFonts w:ascii="宋体" w:hAnsi="宋体" w:cs="宋体"/>
        </w:rPr>
      </w:pPr>
    </w:p>
    <w:p>
      <w:pPr>
        <w:spacing w:line="360" w:lineRule="auto"/>
        <w:ind w:firstLine="420"/>
        <w:rPr>
          <w:rFonts w:ascii="宋体" w:hAnsi="宋体" w:cs="宋体"/>
        </w:rPr>
      </w:pPr>
    </w:p>
    <w:p>
      <w:pPr>
        <w:spacing w:line="360" w:lineRule="auto"/>
        <w:ind w:firstLine="420"/>
        <w:rPr>
          <w:rFonts w:ascii="宋体" w:hAnsi="宋体" w:cs="宋体"/>
        </w:rPr>
      </w:pPr>
    </w:p>
    <w:p>
      <w:pPr>
        <w:spacing w:line="360" w:lineRule="auto"/>
        <w:ind w:firstLine="420"/>
        <w:rPr>
          <w:rFonts w:ascii="宋体" w:hAnsi="宋体" w:cs="宋体"/>
        </w:rPr>
      </w:pPr>
    </w:p>
    <w:p>
      <w:pPr>
        <w:spacing w:line="360" w:lineRule="auto"/>
        <w:ind w:firstLine="420"/>
        <w:rPr>
          <w:rFonts w:ascii="宋体" w:hAnsi="宋体" w:cs="宋体"/>
        </w:rPr>
      </w:pPr>
    </w:p>
    <w:p>
      <w:pPr>
        <w:spacing w:line="360" w:lineRule="auto"/>
        <w:ind w:firstLine="420"/>
        <w:rPr>
          <w:rFonts w:ascii="宋体" w:cs="Times New Roman"/>
        </w:rPr>
      </w:pPr>
    </w:p>
    <w:p>
      <w:pPr>
        <w:spacing w:line="360" w:lineRule="auto"/>
        <w:ind w:right="420"/>
        <w:rPr>
          <w:rFonts w:ascii="宋体" w:cs="Times New Roman"/>
          <w:u w:val="single"/>
        </w:rPr>
      </w:pPr>
      <w:r>
        <w:rPr>
          <w:rFonts w:hint="eastAsia" w:ascii="宋体" w:hAnsi="宋体" w:cs="宋体"/>
        </w:rPr>
        <w:t>法定代表人（签字）：</w:t>
      </w:r>
      <w:r>
        <w:rPr>
          <w:rFonts w:hint="eastAsia" w:ascii="宋体" w:hAnsi="宋体" w:cs="宋体"/>
          <w:u w:val="single"/>
        </w:rPr>
        <w:t xml:space="preserve">                 </w:t>
      </w:r>
    </w:p>
    <w:p>
      <w:pPr>
        <w:spacing w:line="360" w:lineRule="auto"/>
        <w:ind w:right="420"/>
        <w:rPr>
          <w:rFonts w:ascii="宋体" w:cs="Times New Roman"/>
          <w:u w:val="single"/>
        </w:rPr>
      </w:pPr>
      <w:r>
        <w:rPr>
          <w:rFonts w:hint="eastAsia" w:ascii="宋体" w:hAnsi="宋体" w:cs="宋体"/>
        </w:rPr>
        <w:t>委托代理人（签字）：</w:t>
      </w:r>
      <w:r>
        <w:rPr>
          <w:rFonts w:hint="eastAsia" w:ascii="宋体" w:hAnsi="宋体" w:cs="宋体"/>
          <w:u w:val="single"/>
        </w:rPr>
        <w:t xml:space="preserve">                 </w:t>
      </w:r>
    </w:p>
    <w:p>
      <w:pPr>
        <w:spacing w:line="360" w:lineRule="auto"/>
        <w:ind w:right="24"/>
        <w:rPr>
          <w:rFonts w:ascii="宋体" w:hAnsi="宋体" w:cs="宋体"/>
        </w:rPr>
      </w:pPr>
      <w:r>
        <w:rPr>
          <w:rFonts w:hint="eastAsia" w:ascii="宋体" w:hAnsi="宋体" w:cs="宋体"/>
        </w:rPr>
        <w:t>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spacing w:line="360" w:lineRule="auto"/>
        <w:ind w:right="24"/>
        <w:rPr>
          <w:rFonts w:ascii="宋体" w:hAnsi="宋体" w:cs="宋体"/>
        </w:rPr>
      </w:pPr>
    </w:p>
    <w:p>
      <w:pPr>
        <w:spacing w:line="360" w:lineRule="auto"/>
        <w:ind w:right="24"/>
        <w:rPr>
          <w:rFonts w:ascii="宋体" w:hAnsi="宋体" w:cs="宋体"/>
        </w:rPr>
      </w:pPr>
    </w:p>
    <w:p>
      <w:pPr>
        <w:spacing w:line="360" w:lineRule="auto"/>
        <w:ind w:right="24"/>
        <w:rPr>
          <w:rFonts w:ascii="宋体" w:hAnsi="宋体" w:cs="宋体"/>
        </w:rPr>
      </w:pPr>
    </w:p>
    <w:p>
      <w:pPr>
        <w:spacing w:line="360" w:lineRule="auto"/>
        <w:ind w:right="24"/>
        <w:rPr>
          <w:rFonts w:ascii="宋体" w:hAnsi="宋体" w:cs="宋体"/>
        </w:rPr>
      </w:pPr>
    </w:p>
    <w:p>
      <w:pPr>
        <w:spacing w:line="360" w:lineRule="auto"/>
        <w:ind w:right="24"/>
        <w:rPr>
          <w:rFonts w:ascii="宋体" w:hAnsi="宋体" w:cs="宋体"/>
        </w:rPr>
      </w:pPr>
    </w:p>
    <w:p>
      <w:pPr>
        <w:spacing w:line="360" w:lineRule="auto"/>
        <w:ind w:right="24"/>
        <w:rPr>
          <w:rFonts w:ascii="宋体" w:hAnsi="宋体" w:cs="宋体"/>
        </w:rPr>
      </w:pPr>
    </w:p>
    <w:p>
      <w:pPr>
        <w:spacing w:line="360" w:lineRule="auto"/>
        <w:ind w:right="24"/>
        <w:rPr>
          <w:rFonts w:ascii="宋体" w:hAnsi="宋体" w:cs="宋体"/>
        </w:rPr>
      </w:pPr>
    </w:p>
    <w:p>
      <w:pPr>
        <w:spacing w:line="360" w:lineRule="auto"/>
        <w:jc w:val="center"/>
        <w:rPr>
          <w:rFonts w:ascii="黑体" w:hAnsi="黑体" w:eastAsia="黑体" w:cs="Times New Roman"/>
          <w:b/>
          <w:bCs/>
          <w:sz w:val="32"/>
          <w:szCs w:val="32"/>
        </w:rPr>
      </w:pPr>
      <w:r>
        <w:rPr>
          <w:rFonts w:hint="eastAsia" w:ascii="黑体" w:hAnsi="黑体" w:eastAsia="黑体" w:cs="黑体"/>
          <w:b/>
          <w:bCs/>
          <w:sz w:val="32"/>
          <w:szCs w:val="32"/>
        </w:rPr>
        <w:t>二、保证金</w:t>
      </w:r>
    </w:p>
    <w:p>
      <w:pPr>
        <w:rPr>
          <w:rFonts w:ascii="Times New Roman" w:hAnsi="Times New Roman" w:cs="Times New Roman"/>
        </w:rPr>
      </w:pPr>
    </w:p>
    <w:p>
      <w:pPr>
        <w:rPr>
          <w:rFonts w:ascii="Times New Roman" w:hAnsi="Times New Roman" w:cs="Times New Roman"/>
        </w:rPr>
      </w:pPr>
      <w:r>
        <w:rPr>
          <w:rFonts w:ascii="Times New Roman" w:hAnsi="Times New Roman" w:cs="Times New Roman"/>
        </w:rPr>
        <w:t>1</w:t>
      </w:r>
      <w:r>
        <w:rPr>
          <w:rFonts w:hint="eastAsia" w:ascii="宋体" w:hAnsi="宋体" w:cs="宋体"/>
        </w:rPr>
        <w:t>、提供付款凭证复印件或金融机构、担保机构出具的保函原件。</w:t>
      </w:r>
    </w:p>
    <w:p>
      <w:pPr>
        <w:spacing w:line="360" w:lineRule="auto"/>
        <w:rPr>
          <w:rFonts w:ascii="仿宋_GB2312" w:hAnsi="仿宋_GB2312" w:eastAsia="仿宋_GB2312" w:cs="Times New Roman"/>
        </w:rPr>
      </w:pPr>
      <w:r>
        <w:rPr>
          <w:rFonts w:ascii="Times New Roman" w:hAnsi="Times New Roman" w:cs="Times New Roman"/>
        </w:rPr>
        <w:t>2</w:t>
      </w:r>
      <w:r>
        <w:rPr>
          <w:rFonts w:hint="eastAsia" w:ascii="宋体" w:hAnsi="宋体" w:cs="宋体"/>
        </w:rPr>
        <w:t>、根据供应商递交的《投标保证金退还申请书》上的账户信息，以转账或电汇方式退还至供应商的原缴纳账户。</w:t>
      </w:r>
    </w:p>
    <w:p>
      <w:pPr>
        <w:spacing w:line="480" w:lineRule="auto"/>
        <w:rPr>
          <w:rFonts w:ascii="黑体" w:hAnsi="黑体" w:eastAsia="黑体" w:cs="Times New Roman"/>
          <w:sz w:val="24"/>
          <w:szCs w:val="24"/>
        </w:rPr>
      </w:pPr>
    </w:p>
    <w:p>
      <w:pPr>
        <w:spacing w:line="480" w:lineRule="auto"/>
        <w:rPr>
          <w:rFonts w:ascii="黑体" w:hAnsi="黑体" w:eastAsia="黑体" w:cs="黑体"/>
          <w:sz w:val="32"/>
          <w:szCs w:val="32"/>
        </w:rPr>
      </w:pPr>
      <w:r>
        <w:rPr>
          <w:rFonts w:hint="eastAsia" w:ascii="黑体" w:hAnsi="黑体" w:eastAsia="黑体" w:cs="黑体"/>
          <w:sz w:val="32"/>
          <w:szCs w:val="32"/>
        </w:rPr>
        <w:t>附件3</w:t>
      </w:r>
    </w:p>
    <w:p>
      <w:pPr>
        <w:spacing w:line="480" w:lineRule="auto"/>
        <w:jc w:val="center"/>
        <w:rPr>
          <w:rFonts w:ascii="?????_GBK" w:hAnsi="?????_GBK" w:eastAsia="Times New Roman" w:cs="Times New Roman"/>
          <w:b/>
          <w:bCs/>
          <w:sz w:val="32"/>
          <w:szCs w:val="32"/>
        </w:rPr>
      </w:pPr>
      <w:r>
        <w:rPr>
          <w:rFonts w:hint="eastAsia" w:ascii="宋体" w:hAnsi="宋体" w:cs="宋体"/>
          <w:b/>
          <w:bCs/>
          <w:sz w:val="32"/>
          <w:szCs w:val="32"/>
        </w:rPr>
        <w:t>保证金退还申请书</w:t>
      </w:r>
    </w:p>
    <w:p>
      <w:pPr>
        <w:spacing w:line="360" w:lineRule="auto"/>
        <w:rPr>
          <w:rFonts w:ascii="宋体" w:cs="Times New Roman"/>
        </w:rPr>
      </w:pPr>
      <w:r>
        <w:rPr>
          <w:rFonts w:hint="eastAsia" w:ascii="宋体" w:hAnsi="宋体" w:cs="宋体"/>
        </w:rPr>
        <w:t>致</w:t>
      </w:r>
      <w:r>
        <w:rPr>
          <w:rFonts w:ascii="宋体" w:hAnsi="宋体" w:cs="宋体"/>
        </w:rPr>
        <w:t xml:space="preserve"> </w:t>
      </w:r>
      <w:r>
        <w:rPr>
          <w:rFonts w:hint="eastAsia" w:ascii="宋体" w:hAnsi="宋体" w:cs="宋体"/>
          <w:u w:val="single"/>
        </w:rPr>
        <w:t xml:space="preserve">                   </w:t>
      </w:r>
      <w:r>
        <w:rPr>
          <w:rFonts w:ascii="宋体" w:hAnsi="宋体" w:cs="宋体"/>
        </w:rPr>
        <w:t>(</w:t>
      </w:r>
      <w:r>
        <w:rPr>
          <w:rFonts w:hint="eastAsia" w:ascii="宋体" w:hAnsi="宋体" w:cs="宋体"/>
        </w:rPr>
        <w:t>采购人或采购代理机构</w:t>
      </w:r>
      <w:r>
        <w:rPr>
          <w:rFonts w:ascii="宋体" w:hAnsi="宋体" w:cs="宋体"/>
        </w:rPr>
        <w:t>)</w:t>
      </w:r>
      <w:r>
        <w:rPr>
          <w:rFonts w:hint="eastAsia" w:ascii="宋体" w:hAnsi="宋体" w:cs="宋体"/>
        </w:rPr>
        <w:t>：</w:t>
      </w:r>
    </w:p>
    <w:p>
      <w:pPr>
        <w:spacing w:line="360" w:lineRule="auto"/>
        <w:ind w:firstLine="420"/>
        <w:rPr>
          <w:rFonts w:ascii="宋体" w:cs="Times New Roman"/>
        </w:rPr>
      </w:pPr>
      <w:r>
        <w:rPr>
          <w:rFonts w:hint="eastAsia" w:ascii="宋体" w:hAnsi="宋体" w:cs="宋体"/>
        </w:rPr>
        <w:t>我系参加</w:t>
      </w:r>
      <w:r>
        <w:rPr>
          <w:rFonts w:hint="eastAsia" w:ascii="宋体" w:hAnsi="宋体" w:cs="宋体"/>
          <w:u w:val="single"/>
        </w:rPr>
        <w:t xml:space="preserve">                     </w:t>
      </w:r>
      <w:r>
        <w:rPr>
          <w:rFonts w:hint="eastAsia" w:ascii="宋体" w:hAnsi="宋体" w:cs="宋体"/>
        </w:rPr>
        <w:t>（项目名称），政府采购编号：</w:t>
      </w:r>
      <w:r>
        <w:rPr>
          <w:rFonts w:hint="eastAsia" w:ascii="宋体" w:hAnsi="宋体" w:cs="宋体"/>
          <w:u w:val="single"/>
        </w:rPr>
        <w:t xml:space="preserve">              </w:t>
      </w:r>
      <w:r>
        <w:rPr>
          <w:rFonts w:hint="eastAsia" w:ascii="宋体" w:hAnsi="宋体" w:cs="宋体"/>
        </w:rPr>
        <w:t>，委托代理编号：</w:t>
      </w:r>
      <w:r>
        <w:rPr>
          <w:rFonts w:hint="eastAsia" w:ascii="宋体" w:hAnsi="宋体" w:cs="宋体"/>
          <w:u w:val="single"/>
        </w:rPr>
        <w:t xml:space="preserve">                 </w:t>
      </w:r>
      <w:r>
        <w:rPr>
          <w:rFonts w:hint="eastAsia" w:ascii="宋体" w:hAnsi="宋体" w:cs="宋体"/>
        </w:rPr>
        <w:t>竞争性谈判的供应商，现申请按该项目谈判文件规定，退返保证金人民币</w:t>
      </w:r>
      <w:r>
        <w:rPr>
          <w:rFonts w:hint="eastAsia" w:ascii="宋体" w:hAnsi="宋体" w:cs="宋体"/>
          <w:u w:val="single"/>
        </w:rPr>
        <w:t xml:space="preserve">           </w:t>
      </w:r>
      <w:r>
        <w:rPr>
          <w:rFonts w:ascii="宋体" w:hAnsi="宋体" w:cs="宋体"/>
        </w:rPr>
        <w:t>(</w:t>
      </w:r>
      <w:r>
        <w:rPr>
          <w:rFonts w:hint="eastAsia" w:ascii="宋体" w:hAnsi="宋体" w:cs="宋体"/>
        </w:rPr>
        <w:t>大写）￥</w:t>
      </w:r>
      <w:r>
        <w:rPr>
          <w:rFonts w:hint="eastAsia" w:ascii="宋体" w:hAnsi="宋体" w:cs="宋体"/>
          <w:u w:val="single"/>
        </w:rPr>
        <w:t xml:space="preserve">           </w:t>
      </w:r>
      <w:r>
        <w:rPr>
          <w:rFonts w:ascii="宋体" w:hAnsi="宋体" w:cs="宋体"/>
        </w:rPr>
        <w:t>(</w:t>
      </w:r>
      <w:r>
        <w:rPr>
          <w:rFonts w:hint="eastAsia" w:ascii="宋体" w:hAnsi="宋体" w:cs="宋体"/>
        </w:rPr>
        <w:t>小写），保证金请退还到以下原缴纳账户：</w:t>
      </w:r>
    </w:p>
    <w:p>
      <w:pPr>
        <w:spacing w:before="50" w:line="360" w:lineRule="auto"/>
        <w:ind w:firstLine="420"/>
        <w:rPr>
          <w:rFonts w:ascii="宋体" w:cs="Times New Roman"/>
          <w:u w:val="single"/>
        </w:rPr>
      </w:pPr>
      <w:r>
        <w:rPr>
          <w:rFonts w:hint="eastAsia" w:ascii="宋体" w:hAnsi="宋体" w:cs="宋体"/>
        </w:rPr>
        <w:t>户名：</w:t>
      </w:r>
      <w:r>
        <w:rPr>
          <w:rFonts w:hint="eastAsia" w:ascii="宋体" w:hAnsi="宋体" w:cs="宋体"/>
          <w:u w:val="single"/>
        </w:rPr>
        <w:t xml:space="preserve">                              </w:t>
      </w:r>
    </w:p>
    <w:p>
      <w:pPr>
        <w:spacing w:before="50" w:line="360" w:lineRule="auto"/>
        <w:ind w:firstLine="420"/>
        <w:rPr>
          <w:rFonts w:ascii="宋体" w:cs="Times New Roman"/>
          <w:u w:val="single"/>
        </w:rPr>
      </w:pPr>
      <w:r>
        <w:rPr>
          <w:rFonts w:hint="eastAsia" w:ascii="宋体" w:hAnsi="宋体" w:cs="宋体"/>
        </w:rPr>
        <w:t>账号：</w:t>
      </w:r>
      <w:r>
        <w:rPr>
          <w:rFonts w:hint="eastAsia" w:ascii="宋体" w:hAnsi="宋体" w:cs="宋体"/>
          <w:u w:val="single"/>
        </w:rPr>
        <w:t xml:space="preserve">                              </w:t>
      </w:r>
    </w:p>
    <w:p>
      <w:pPr>
        <w:spacing w:before="50" w:line="360" w:lineRule="auto"/>
        <w:ind w:firstLine="420"/>
        <w:rPr>
          <w:rFonts w:ascii="宋体" w:cs="Times New Roman"/>
          <w:u w:val="single"/>
        </w:rPr>
      </w:pPr>
      <w:r>
        <w:rPr>
          <w:rFonts w:hint="eastAsia" w:ascii="宋体" w:hAnsi="宋体" w:cs="宋体"/>
        </w:rPr>
        <w:t>开户行：</w:t>
      </w:r>
      <w:r>
        <w:rPr>
          <w:rFonts w:hint="eastAsia" w:ascii="宋体" w:hAnsi="宋体" w:cs="宋体"/>
          <w:u w:val="single"/>
        </w:rPr>
        <w:t xml:space="preserve">                            </w:t>
      </w:r>
    </w:p>
    <w:p>
      <w:pPr>
        <w:spacing w:before="50" w:line="360" w:lineRule="auto"/>
        <w:ind w:firstLine="420"/>
        <w:rPr>
          <w:rFonts w:ascii="宋体" w:cs="Times New Roman"/>
        </w:rPr>
      </w:pPr>
      <w:r>
        <w:rPr>
          <w:rFonts w:hint="eastAsia" w:ascii="宋体" w:hAnsi="宋体" w:cs="宋体"/>
        </w:rPr>
        <w:t>开户行地址：</w:t>
      </w:r>
      <w:r>
        <w:rPr>
          <w:rFonts w:hint="eastAsia" w:ascii="宋体" w:hAnsi="宋体" w:cs="宋体"/>
          <w:u w:val="single"/>
        </w:rPr>
        <w:t xml:space="preserve">        </w:t>
      </w:r>
      <w:r>
        <w:rPr>
          <w:rFonts w:hint="eastAsia" w:ascii="宋体" w:hAnsi="宋体" w:cs="宋体"/>
        </w:rPr>
        <w:t>省</w:t>
      </w:r>
      <w:r>
        <w:rPr>
          <w:rFonts w:hint="eastAsia" w:ascii="宋体" w:hAnsi="宋体" w:cs="宋体"/>
          <w:u w:val="single"/>
        </w:rPr>
        <w:t xml:space="preserve">       </w:t>
      </w:r>
      <w:r>
        <w:rPr>
          <w:rFonts w:hint="eastAsia" w:ascii="宋体" w:hAnsi="宋体" w:cs="宋体"/>
        </w:rPr>
        <w:t>市</w:t>
      </w:r>
    </w:p>
    <w:p>
      <w:pPr>
        <w:spacing w:before="50" w:line="360" w:lineRule="auto"/>
        <w:ind w:firstLine="420"/>
        <w:rPr>
          <w:rFonts w:ascii="宋体" w:cs="Times New Roman"/>
        </w:rPr>
      </w:pPr>
      <w:r>
        <w:rPr>
          <w:rFonts w:hint="eastAsia" w:ascii="宋体" w:hAnsi="宋体" w:cs="宋体"/>
        </w:rPr>
        <w:t>如果提供的账户信息有误或因账户信息变更未及时通知，一切后果均由本单位自行负责。</w:t>
      </w:r>
    </w:p>
    <w:p>
      <w:pPr>
        <w:spacing w:before="50" w:line="360" w:lineRule="auto"/>
        <w:ind w:left="4429"/>
        <w:rPr>
          <w:rFonts w:ascii="Times New Roman" w:hAnsi="Times New Roman" w:cs="Times New Roman"/>
        </w:rPr>
      </w:pPr>
      <w:r>
        <w:rPr>
          <w:rFonts w:hint="eastAsia" w:ascii="宋体" w:hAnsi="宋体" w:cs="宋体"/>
        </w:rPr>
        <w:t>供应商</w:t>
      </w:r>
      <w:r>
        <w:rPr>
          <w:rFonts w:ascii="宋体" w:hAnsi="宋体" w:cs="宋体"/>
        </w:rPr>
        <w:t>(</w:t>
      </w:r>
      <w:r>
        <w:rPr>
          <w:rFonts w:hint="eastAsia" w:ascii="宋体" w:hAnsi="宋体" w:cs="宋体"/>
        </w:rPr>
        <w:t>盖单位章</w:t>
      </w:r>
      <w:r>
        <w:rPr>
          <w:rFonts w:ascii="Times New Roman" w:hAnsi="Times New Roman" w:cs="Times New Roman"/>
        </w:rPr>
        <w:t>)</w:t>
      </w:r>
      <w:r>
        <w:rPr>
          <w:rFonts w:hint="eastAsia" w:ascii="宋体" w:hAnsi="宋体" w:cs="宋体"/>
        </w:rPr>
        <w:t>：</w:t>
      </w:r>
    </w:p>
    <w:p>
      <w:pPr>
        <w:spacing w:before="50" w:line="360" w:lineRule="auto"/>
        <w:ind w:left="4429"/>
        <w:rPr>
          <w:rFonts w:ascii="Times New Roman" w:hAnsi="Times New Roman" w:cs="Times New Roman"/>
          <w:u w:val="single"/>
        </w:rPr>
      </w:pPr>
      <w:r>
        <w:rPr>
          <w:rFonts w:hint="eastAsia" w:ascii="宋体" w:hAnsi="宋体" w:cs="宋体"/>
        </w:rPr>
        <w:t>联系人：</w:t>
      </w:r>
      <w:r>
        <w:rPr>
          <w:rFonts w:hint="eastAsia" w:ascii="宋体" w:hAnsi="宋体" w:cs="宋体"/>
          <w:u w:val="single"/>
        </w:rPr>
        <w:t xml:space="preserve">             </w:t>
      </w:r>
    </w:p>
    <w:p>
      <w:pPr>
        <w:spacing w:before="50" w:line="360" w:lineRule="auto"/>
        <w:ind w:left="4429"/>
        <w:rPr>
          <w:rFonts w:ascii="Times New Roman" w:hAnsi="Times New Roman" w:cs="Times New Roman"/>
          <w:u w:val="single"/>
        </w:rPr>
      </w:pPr>
      <w:r>
        <w:rPr>
          <w:rFonts w:hint="eastAsia" w:ascii="宋体" w:hAnsi="宋体" w:cs="宋体"/>
        </w:rPr>
        <w:t>移动电话：</w:t>
      </w:r>
      <w:r>
        <w:rPr>
          <w:rFonts w:hint="eastAsia" w:ascii="宋体" w:hAnsi="宋体" w:cs="宋体"/>
          <w:u w:val="single"/>
        </w:rPr>
        <w:t xml:space="preserve">                   </w:t>
      </w:r>
    </w:p>
    <w:p>
      <w:pPr>
        <w:spacing w:before="50" w:line="360" w:lineRule="auto"/>
        <w:ind w:left="4429"/>
        <w:rPr>
          <w:rFonts w:ascii="Times New Roman" w:hAnsi="Times New Roman" w:cs="Times New Roman"/>
          <w:u w:val="single"/>
        </w:rPr>
      </w:pPr>
      <w:r>
        <w:rPr>
          <w:rFonts w:hint="eastAsia" w:ascii="宋体" w:hAnsi="宋体" w:cs="宋体"/>
        </w:rPr>
        <w:t>固定电话：</w:t>
      </w:r>
      <w:r>
        <w:rPr>
          <w:rFonts w:hint="eastAsia" w:ascii="宋体" w:hAnsi="宋体" w:cs="宋体"/>
          <w:u w:val="single"/>
        </w:rPr>
        <w:t xml:space="preserve">                   </w:t>
      </w:r>
    </w:p>
    <w:p>
      <w:pPr>
        <w:spacing w:before="50" w:line="360" w:lineRule="auto"/>
        <w:ind w:left="4429"/>
        <w:rPr>
          <w:rFonts w:ascii="Times New Roman" w:hAnsi="Times New Roman" w:cs="Times New Roman"/>
        </w:rPr>
      </w:pPr>
      <w:r>
        <w:rPr>
          <w:rFonts w:hint="eastAsia" w:ascii="宋体" w:hAnsi="宋体" w:cs="宋体"/>
        </w:rPr>
        <w:t>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spacing w:line="360" w:lineRule="auto"/>
        <w:rPr>
          <w:rFonts w:ascii="宋体" w:hAnsi="宋体" w:cs="宋体"/>
        </w:rPr>
      </w:pPr>
      <w:r>
        <w:rPr>
          <w:rFonts w:hint="eastAsia" w:ascii="宋体" w:hAnsi="宋体" w:cs="宋体"/>
        </w:rPr>
        <w:t>说明：《保证金退还申请书》需单独递交，不得装订在响应文件中；可在办理保证金交割手续时提交，也可在提交首次响应文件截止时间后补交，未交《保证金退还申请书》的供应商，将影响其保证金的正常退还。</w:t>
      </w:r>
    </w:p>
    <w:p>
      <w:pPr>
        <w:adjustRightInd w:val="0"/>
        <w:snapToGrid w:val="0"/>
        <w:spacing w:line="360" w:lineRule="auto"/>
        <w:jc w:val="center"/>
        <w:rPr>
          <w:rFonts w:ascii="黑体" w:hAnsi="宋体" w:eastAsia="黑体" w:cs="Times New Roman"/>
          <w:b/>
          <w:bCs/>
          <w:sz w:val="32"/>
          <w:szCs w:val="32"/>
        </w:rPr>
      </w:pPr>
      <w:r>
        <w:rPr>
          <w:rFonts w:hint="eastAsia" w:ascii="黑体" w:hAnsi="宋体" w:eastAsia="黑体" w:cs="黑体"/>
          <w:b/>
          <w:bCs/>
          <w:sz w:val="32"/>
          <w:szCs w:val="32"/>
        </w:rPr>
        <w:t>三</w:t>
      </w:r>
      <w:r>
        <w:rPr>
          <w:rFonts w:hint="eastAsia" w:ascii="黑体" w:eastAsia="黑体" w:cs="黑体"/>
          <w:b/>
          <w:bCs/>
          <w:sz w:val="32"/>
          <w:szCs w:val="32"/>
        </w:rPr>
        <w:t>、</w:t>
      </w:r>
      <w:r>
        <w:rPr>
          <w:rFonts w:hint="eastAsia" w:ascii="黑体" w:hAnsi="宋体" w:eastAsia="黑体" w:cs="黑体"/>
          <w:b/>
          <w:bCs/>
          <w:sz w:val="32"/>
          <w:szCs w:val="32"/>
        </w:rPr>
        <w:t>供应商的资格证明材料</w:t>
      </w:r>
    </w:p>
    <w:p>
      <w:pPr>
        <w:spacing w:line="480" w:lineRule="exact"/>
        <w:rPr>
          <w:rFonts w:ascii="黑体" w:eastAsia="黑体" w:cs="黑体"/>
          <w:sz w:val="32"/>
          <w:szCs w:val="32"/>
        </w:rPr>
      </w:pPr>
      <w:r>
        <w:rPr>
          <w:rFonts w:hint="eastAsia" w:ascii="黑体" w:eastAsia="黑体" w:cs="黑体"/>
          <w:sz w:val="32"/>
          <w:szCs w:val="32"/>
        </w:rPr>
        <w:t>附件4</w:t>
      </w:r>
    </w:p>
    <w:p>
      <w:pPr>
        <w:adjustRightInd w:val="0"/>
        <w:snapToGrid w:val="0"/>
        <w:spacing w:line="360" w:lineRule="auto"/>
        <w:jc w:val="center"/>
        <w:rPr>
          <w:rFonts w:ascii="?????_GBK" w:eastAsia="Times New Roman" w:cs="Times New Roman"/>
          <w:sz w:val="36"/>
          <w:szCs w:val="36"/>
        </w:rPr>
      </w:pPr>
      <w:r>
        <w:rPr>
          <w:rFonts w:hint="eastAsia" w:ascii="黑体" w:hAnsi="宋体" w:eastAsia="黑体" w:cs="黑体"/>
          <w:b/>
          <w:bCs/>
          <w:sz w:val="32"/>
          <w:szCs w:val="32"/>
        </w:rPr>
        <w:t>供应商基本情况表</w:t>
      </w:r>
    </w:p>
    <w:p>
      <w:pPr>
        <w:adjustRightInd w:val="0"/>
        <w:snapToGrid w:val="0"/>
        <w:spacing w:line="360" w:lineRule="auto"/>
        <w:rPr>
          <w:rFonts w:ascii="宋体" w:cs="Times New Roman"/>
        </w:rPr>
      </w:pPr>
      <w:r>
        <w:rPr>
          <w:rFonts w:hint="eastAsia" w:ascii="宋体" w:hAnsi="宋体" w:cs="宋体"/>
        </w:rPr>
        <w:t>盖供应商单位章</w:t>
      </w:r>
    </w:p>
    <w:tbl>
      <w:tblPr>
        <w:tblStyle w:val="13"/>
        <w:tblW w:w="9010" w:type="dxa"/>
        <w:tblInd w:w="-106"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719"/>
        <w:gridCol w:w="539"/>
        <w:gridCol w:w="362"/>
        <w:gridCol w:w="1143"/>
        <w:gridCol w:w="850"/>
        <w:gridCol w:w="590"/>
        <w:gridCol w:w="294"/>
        <w:gridCol w:w="1083"/>
        <w:gridCol w:w="1329"/>
        <w:gridCol w:w="2092"/>
        <w:gridCol w:w="9"/>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561" w:hRule="atLeast"/>
        </w:trPr>
        <w:tc>
          <w:tcPr>
            <w:tcW w:w="1620" w:type="dxa"/>
            <w:gridSpan w:val="3"/>
            <w:tcBorders>
              <w:top w:val="double" w:color="auto" w:sz="4"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供应商名称</w:t>
            </w:r>
          </w:p>
        </w:tc>
        <w:tc>
          <w:tcPr>
            <w:tcW w:w="3960" w:type="dxa"/>
            <w:gridSpan w:val="5"/>
            <w:tcBorders>
              <w:top w:val="double" w:color="auto" w:sz="4"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329" w:type="dxa"/>
            <w:tcBorders>
              <w:top w:val="double" w:color="auto" w:sz="4"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法定代表人</w:t>
            </w:r>
          </w:p>
        </w:tc>
        <w:tc>
          <w:tcPr>
            <w:tcW w:w="2101" w:type="dxa"/>
            <w:gridSpan w:val="2"/>
            <w:tcBorders>
              <w:top w:val="double" w:color="auto" w:sz="4"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trHeight w:val="611" w:hRule="atLeast"/>
        </w:trPr>
        <w:tc>
          <w:tcPr>
            <w:tcW w:w="1620" w:type="dxa"/>
            <w:gridSpan w:val="3"/>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组织机构代码</w:t>
            </w:r>
          </w:p>
        </w:tc>
        <w:tc>
          <w:tcPr>
            <w:tcW w:w="3960" w:type="dxa"/>
            <w:gridSpan w:val="5"/>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329"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邮政编码</w:t>
            </w:r>
          </w:p>
        </w:tc>
        <w:tc>
          <w:tcPr>
            <w:tcW w:w="2092" w:type="dxa"/>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trHeight w:val="608" w:hRule="atLeast"/>
        </w:trPr>
        <w:tc>
          <w:tcPr>
            <w:tcW w:w="1620" w:type="dxa"/>
            <w:gridSpan w:val="3"/>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委托代理人</w:t>
            </w:r>
          </w:p>
        </w:tc>
        <w:tc>
          <w:tcPr>
            <w:tcW w:w="3960" w:type="dxa"/>
            <w:gridSpan w:val="5"/>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329"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电子邮箱</w:t>
            </w:r>
          </w:p>
        </w:tc>
        <w:tc>
          <w:tcPr>
            <w:tcW w:w="2092" w:type="dxa"/>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trHeight w:val="608" w:hRule="atLeast"/>
        </w:trPr>
        <w:tc>
          <w:tcPr>
            <w:tcW w:w="1620" w:type="dxa"/>
            <w:gridSpan w:val="3"/>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上年营业收入</w:t>
            </w:r>
          </w:p>
        </w:tc>
        <w:tc>
          <w:tcPr>
            <w:tcW w:w="3960" w:type="dxa"/>
            <w:gridSpan w:val="5"/>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329"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员工总人数</w:t>
            </w:r>
          </w:p>
        </w:tc>
        <w:tc>
          <w:tcPr>
            <w:tcW w:w="2092" w:type="dxa"/>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trHeight w:val="624" w:hRule="atLeast"/>
        </w:trPr>
        <w:tc>
          <w:tcPr>
            <w:tcW w:w="719" w:type="dxa"/>
            <w:vMerge w:val="restart"/>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营业执照</w:t>
            </w:r>
          </w:p>
        </w:tc>
        <w:tc>
          <w:tcPr>
            <w:tcW w:w="2044" w:type="dxa"/>
            <w:gridSpan w:val="3"/>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注册号码</w:t>
            </w:r>
          </w:p>
        </w:tc>
        <w:tc>
          <w:tcPr>
            <w:tcW w:w="1440"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377"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ind w:firstLine="105" w:firstLineChars="50"/>
              <w:jc w:val="center"/>
              <w:rPr>
                <w:rFonts w:ascii="宋体" w:cs="Times New Roman"/>
              </w:rPr>
            </w:pPr>
            <w:r>
              <w:rPr>
                <w:rFonts w:hint="eastAsia" w:ascii="宋体" w:hAnsi="宋体" w:cs="宋体"/>
              </w:rPr>
              <w:t>注册地址</w:t>
            </w:r>
          </w:p>
        </w:tc>
        <w:tc>
          <w:tcPr>
            <w:tcW w:w="3421" w:type="dxa"/>
            <w:gridSpan w:val="2"/>
            <w:tcBorders>
              <w:top w:val="single" w:color="auto" w:sz="6" w:space="0"/>
              <w:left w:val="single" w:color="auto" w:sz="6" w:space="0"/>
              <w:bottom w:val="single" w:color="auto" w:sz="6" w:space="0"/>
              <w:right w:val="double" w:color="auto" w:sz="4" w:space="0"/>
            </w:tcBorders>
            <w:vAlign w:val="center"/>
          </w:tcPr>
          <w:p>
            <w:pPr>
              <w:topLinePunct/>
              <w:spacing w:line="440" w:lineRule="exact"/>
              <w:ind w:firstLine="105" w:firstLineChars="50"/>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624" w:hRule="atLeast"/>
        </w:trPr>
        <w:tc>
          <w:tcPr>
            <w:tcW w:w="719" w:type="dxa"/>
            <w:vMerge w:val="continue"/>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p>
        </w:tc>
        <w:tc>
          <w:tcPr>
            <w:tcW w:w="2044" w:type="dxa"/>
            <w:gridSpan w:val="3"/>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发证机关</w:t>
            </w:r>
          </w:p>
        </w:tc>
        <w:tc>
          <w:tcPr>
            <w:tcW w:w="1440"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377"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ind w:firstLine="105" w:firstLineChars="50"/>
              <w:jc w:val="center"/>
              <w:rPr>
                <w:rFonts w:ascii="宋体" w:cs="Times New Roman"/>
              </w:rPr>
            </w:pPr>
            <w:r>
              <w:rPr>
                <w:rFonts w:hint="eastAsia" w:ascii="宋体" w:hAnsi="宋体" w:cs="宋体"/>
              </w:rPr>
              <w:t>发证日期</w:t>
            </w:r>
          </w:p>
        </w:tc>
        <w:tc>
          <w:tcPr>
            <w:tcW w:w="3430" w:type="dxa"/>
            <w:gridSpan w:val="3"/>
            <w:tcBorders>
              <w:top w:val="single" w:color="auto" w:sz="6" w:space="0"/>
              <w:left w:val="single" w:color="auto" w:sz="6" w:space="0"/>
              <w:bottom w:val="single" w:color="auto" w:sz="6" w:space="0"/>
              <w:right w:val="double" w:color="auto" w:sz="4" w:space="0"/>
            </w:tcBorders>
            <w:vAlign w:val="center"/>
          </w:tcPr>
          <w:p>
            <w:pPr>
              <w:topLinePunct/>
              <w:spacing w:line="440" w:lineRule="exact"/>
              <w:ind w:firstLine="105" w:firstLineChars="50"/>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trHeight w:val="624" w:hRule="atLeast"/>
        </w:trPr>
        <w:tc>
          <w:tcPr>
            <w:tcW w:w="719" w:type="dxa"/>
            <w:vMerge w:val="continue"/>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p>
        </w:tc>
        <w:tc>
          <w:tcPr>
            <w:tcW w:w="2044" w:type="dxa"/>
            <w:gridSpan w:val="3"/>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营业范围（主营）</w:t>
            </w:r>
          </w:p>
        </w:tc>
        <w:tc>
          <w:tcPr>
            <w:tcW w:w="6238" w:type="dxa"/>
            <w:gridSpan w:val="6"/>
            <w:tcBorders>
              <w:top w:val="single" w:color="auto" w:sz="6" w:space="0"/>
              <w:left w:val="single" w:color="auto" w:sz="6" w:space="0"/>
              <w:bottom w:val="single" w:color="auto" w:sz="6" w:space="0"/>
              <w:right w:val="double" w:color="auto" w:sz="4" w:space="0"/>
            </w:tcBorders>
            <w:vAlign w:val="center"/>
          </w:tcPr>
          <w:p>
            <w:pPr>
              <w:topLinePunct/>
              <w:spacing w:line="440" w:lineRule="exact"/>
              <w:ind w:firstLine="105" w:firstLineChars="50"/>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trHeight w:val="624" w:hRule="atLeast"/>
        </w:trPr>
        <w:tc>
          <w:tcPr>
            <w:tcW w:w="719" w:type="dxa"/>
            <w:vMerge w:val="continue"/>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p>
        </w:tc>
        <w:tc>
          <w:tcPr>
            <w:tcW w:w="2044" w:type="dxa"/>
            <w:gridSpan w:val="3"/>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营业范围（兼营）</w:t>
            </w:r>
          </w:p>
        </w:tc>
        <w:tc>
          <w:tcPr>
            <w:tcW w:w="6238" w:type="dxa"/>
            <w:gridSpan w:val="6"/>
            <w:tcBorders>
              <w:top w:val="single" w:color="auto" w:sz="6" w:space="0"/>
              <w:left w:val="single" w:color="auto" w:sz="6" w:space="0"/>
              <w:bottom w:val="single" w:color="auto" w:sz="6" w:space="0"/>
              <w:right w:val="double" w:color="auto" w:sz="4" w:space="0"/>
            </w:tcBorders>
            <w:vAlign w:val="center"/>
          </w:tcPr>
          <w:p>
            <w:pPr>
              <w:topLinePunct/>
              <w:spacing w:line="440" w:lineRule="exact"/>
              <w:ind w:firstLine="105" w:firstLineChars="50"/>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cantSplit/>
          <w:trHeight w:val="658" w:hRule="atLeast"/>
        </w:trPr>
        <w:tc>
          <w:tcPr>
            <w:tcW w:w="2763" w:type="dxa"/>
            <w:gridSpan w:val="4"/>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基本账户开户行及帐号</w:t>
            </w:r>
          </w:p>
        </w:tc>
        <w:tc>
          <w:tcPr>
            <w:tcW w:w="6238" w:type="dxa"/>
            <w:gridSpan w:val="6"/>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cantSplit/>
          <w:trHeight w:val="658" w:hRule="atLeast"/>
        </w:trPr>
        <w:tc>
          <w:tcPr>
            <w:tcW w:w="2763" w:type="dxa"/>
            <w:gridSpan w:val="4"/>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税务登记机关</w:t>
            </w:r>
          </w:p>
        </w:tc>
        <w:tc>
          <w:tcPr>
            <w:tcW w:w="6238" w:type="dxa"/>
            <w:gridSpan w:val="6"/>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cantSplit/>
          <w:trHeight w:val="604" w:hRule="atLeast"/>
        </w:trPr>
        <w:tc>
          <w:tcPr>
            <w:tcW w:w="3613" w:type="dxa"/>
            <w:gridSpan w:val="5"/>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资质名称</w:t>
            </w:r>
          </w:p>
        </w:tc>
        <w:tc>
          <w:tcPr>
            <w:tcW w:w="884"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等级</w:t>
            </w:r>
          </w:p>
        </w:tc>
        <w:tc>
          <w:tcPr>
            <w:tcW w:w="1083"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r>
              <w:rPr>
                <w:rFonts w:hint="eastAsia" w:ascii="宋体" w:hAnsi="宋体" w:cs="宋体"/>
              </w:rPr>
              <w:t>发证机关</w:t>
            </w:r>
          </w:p>
        </w:tc>
        <w:tc>
          <w:tcPr>
            <w:tcW w:w="3421" w:type="dxa"/>
            <w:gridSpan w:val="2"/>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r>
              <w:rPr>
                <w:rFonts w:hint="eastAsia" w:ascii="宋体" w:hAnsi="宋体" w:cs="宋体"/>
              </w:rPr>
              <w:t>有效期</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cantSplit/>
          <w:trHeight w:val="476" w:hRule="atLeast"/>
        </w:trPr>
        <w:tc>
          <w:tcPr>
            <w:tcW w:w="3613" w:type="dxa"/>
            <w:gridSpan w:val="5"/>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p>
        </w:tc>
        <w:tc>
          <w:tcPr>
            <w:tcW w:w="884"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083"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3421" w:type="dxa"/>
            <w:gridSpan w:val="2"/>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cantSplit/>
          <w:trHeight w:val="401" w:hRule="atLeast"/>
        </w:trPr>
        <w:tc>
          <w:tcPr>
            <w:tcW w:w="3613" w:type="dxa"/>
            <w:gridSpan w:val="5"/>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p>
        </w:tc>
        <w:tc>
          <w:tcPr>
            <w:tcW w:w="884"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083"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3421" w:type="dxa"/>
            <w:gridSpan w:val="2"/>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cantSplit/>
          <w:trHeight w:val="401" w:hRule="atLeast"/>
        </w:trPr>
        <w:tc>
          <w:tcPr>
            <w:tcW w:w="3613" w:type="dxa"/>
            <w:gridSpan w:val="5"/>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p>
        </w:tc>
        <w:tc>
          <w:tcPr>
            <w:tcW w:w="884"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083"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3421" w:type="dxa"/>
            <w:gridSpan w:val="2"/>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cantSplit/>
          <w:trHeight w:val="491" w:hRule="atLeast"/>
        </w:trPr>
        <w:tc>
          <w:tcPr>
            <w:tcW w:w="3613" w:type="dxa"/>
            <w:gridSpan w:val="5"/>
            <w:tcBorders>
              <w:top w:val="single" w:color="auto" w:sz="6" w:space="0"/>
              <w:left w:val="double" w:color="auto" w:sz="4" w:space="0"/>
              <w:bottom w:val="single" w:color="auto" w:sz="6" w:space="0"/>
              <w:right w:val="single" w:color="auto" w:sz="6" w:space="0"/>
            </w:tcBorders>
            <w:vAlign w:val="center"/>
          </w:tcPr>
          <w:p>
            <w:pPr>
              <w:topLinePunct/>
              <w:spacing w:line="440" w:lineRule="exact"/>
              <w:jc w:val="center"/>
              <w:rPr>
                <w:rFonts w:ascii="宋体" w:cs="Times New Roman"/>
              </w:rPr>
            </w:pPr>
          </w:p>
        </w:tc>
        <w:tc>
          <w:tcPr>
            <w:tcW w:w="884" w:type="dxa"/>
            <w:gridSpan w:val="2"/>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1083" w:type="dxa"/>
            <w:tcBorders>
              <w:top w:val="single" w:color="auto" w:sz="6" w:space="0"/>
              <w:left w:val="single" w:color="auto" w:sz="6" w:space="0"/>
              <w:bottom w:val="single" w:color="auto" w:sz="6" w:space="0"/>
              <w:right w:val="single" w:color="auto" w:sz="6" w:space="0"/>
            </w:tcBorders>
            <w:vAlign w:val="center"/>
          </w:tcPr>
          <w:p>
            <w:pPr>
              <w:topLinePunct/>
              <w:spacing w:line="440" w:lineRule="exact"/>
              <w:jc w:val="center"/>
              <w:rPr>
                <w:rFonts w:ascii="宋体" w:cs="Times New Roman"/>
              </w:rPr>
            </w:pPr>
          </w:p>
        </w:tc>
        <w:tc>
          <w:tcPr>
            <w:tcW w:w="3421" w:type="dxa"/>
            <w:gridSpan w:val="2"/>
            <w:tcBorders>
              <w:top w:val="single" w:color="auto" w:sz="6" w:space="0"/>
              <w:left w:val="single" w:color="auto" w:sz="6" w:space="0"/>
              <w:bottom w:val="single" w:color="auto" w:sz="6" w:space="0"/>
              <w:right w:val="double" w:color="auto" w:sz="4" w:space="0"/>
            </w:tcBorders>
            <w:vAlign w:val="center"/>
          </w:tcPr>
          <w:p>
            <w:pPr>
              <w:topLinePunct/>
              <w:spacing w:line="440" w:lineRule="exact"/>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gridAfter w:val="1"/>
          <w:wAfter w:w="9" w:type="dxa"/>
          <w:trHeight w:val="1777" w:hRule="atLeast"/>
        </w:trPr>
        <w:tc>
          <w:tcPr>
            <w:tcW w:w="1258" w:type="dxa"/>
            <w:gridSpan w:val="2"/>
            <w:tcBorders>
              <w:top w:val="single" w:color="auto" w:sz="6" w:space="0"/>
              <w:left w:val="double" w:color="auto" w:sz="4" w:space="0"/>
              <w:bottom w:val="double" w:color="auto" w:sz="4" w:space="0"/>
              <w:right w:val="single" w:color="auto" w:sz="6" w:space="0"/>
            </w:tcBorders>
            <w:vAlign w:val="center"/>
          </w:tcPr>
          <w:p>
            <w:pPr>
              <w:topLinePunct/>
              <w:spacing w:line="440" w:lineRule="exact"/>
              <w:jc w:val="center"/>
              <w:rPr>
                <w:rFonts w:cs="Times New Roman" w:asciiTheme="minorEastAsia" w:hAnsiTheme="minorEastAsia" w:eastAsiaTheme="minorEastAsia"/>
              </w:rPr>
            </w:pPr>
            <w:r>
              <w:rPr>
                <w:rFonts w:hint="eastAsia" w:cs="宋体" w:asciiTheme="minorEastAsia" w:hAnsiTheme="minorEastAsia" w:eastAsiaTheme="minorEastAsia"/>
              </w:rPr>
              <w:t>备注</w:t>
            </w:r>
          </w:p>
        </w:tc>
        <w:tc>
          <w:tcPr>
            <w:tcW w:w="7743" w:type="dxa"/>
            <w:gridSpan w:val="8"/>
            <w:tcBorders>
              <w:top w:val="single" w:color="auto" w:sz="6" w:space="0"/>
              <w:left w:val="single" w:color="auto" w:sz="6" w:space="0"/>
              <w:bottom w:val="double" w:color="auto" w:sz="4" w:space="0"/>
              <w:right w:val="double" w:color="auto" w:sz="4" w:space="0"/>
            </w:tcBorders>
            <w:vAlign w:val="center"/>
          </w:tcPr>
          <w:p>
            <w:pPr>
              <w:topLinePunct/>
              <w:spacing w:line="440" w:lineRule="exact"/>
              <w:rPr>
                <w:rFonts w:cs="Times New Roman" w:asciiTheme="minorEastAsia" w:hAnsiTheme="minorEastAsia" w:eastAsiaTheme="minorEastAsia"/>
              </w:rPr>
            </w:pPr>
            <w:r>
              <w:rPr>
                <w:rFonts w:hint="eastAsia" w:cs="仿宋_GB2312" w:asciiTheme="minorEastAsia" w:hAnsiTheme="minorEastAsia" w:eastAsiaTheme="minorEastAsia"/>
              </w:rPr>
              <w:t>提供营业执照和组织机构代码证</w:t>
            </w:r>
            <w:r>
              <w:rPr>
                <w:rFonts w:cs="仿宋_GB2312" w:asciiTheme="minorEastAsia" w:hAnsiTheme="minorEastAsia" w:eastAsiaTheme="minorEastAsia"/>
              </w:rPr>
              <w:t>(</w:t>
            </w:r>
            <w:r>
              <w:rPr>
                <w:rFonts w:hint="eastAsia" w:cs="仿宋_GB2312" w:asciiTheme="minorEastAsia" w:hAnsiTheme="minorEastAsia" w:eastAsiaTheme="minorEastAsia"/>
              </w:rPr>
              <w:t>副本复印件</w:t>
            </w:r>
            <w:r>
              <w:rPr>
                <w:rFonts w:cs="仿宋_GB2312" w:asciiTheme="minorEastAsia" w:hAnsiTheme="minorEastAsia" w:eastAsiaTheme="minorEastAsia"/>
              </w:rPr>
              <w:t>)</w:t>
            </w:r>
            <w:r>
              <w:rPr>
                <w:rFonts w:hint="eastAsia" w:cs="仿宋_GB2312" w:asciiTheme="minorEastAsia" w:hAnsiTheme="minorEastAsia" w:eastAsiaTheme="minorEastAsia"/>
              </w:rPr>
              <w:t>，其他资料按第二章第</w:t>
            </w:r>
            <w:r>
              <w:rPr>
                <w:rFonts w:cs="仿宋_GB2312" w:asciiTheme="minorEastAsia" w:hAnsiTheme="minorEastAsia" w:eastAsiaTheme="minorEastAsia"/>
              </w:rPr>
              <w:t>41.1</w:t>
            </w:r>
            <w:r>
              <w:rPr>
                <w:rFonts w:hint="eastAsia" w:cs="仿宋_GB2312" w:asciiTheme="minorEastAsia" w:hAnsiTheme="minorEastAsia" w:eastAsiaTheme="minorEastAsia"/>
              </w:rPr>
              <w:t>款或第四章要求提供。</w:t>
            </w:r>
          </w:p>
        </w:tc>
      </w:tr>
    </w:tbl>
    <w:p>
      <w:pPr>
        <w:adjustRightInd w:val="0"/>
        <w:snapToGrid w:val="0"/>
        <w:spacing w:line="360" w:lineRule="auto"/>
        <w:jc w:val="center"/>
        <w:rPr>
          <w:rFonts w:ascii="黑体" w:hAnsi="宋体" w:eastAsia="黑体" w:cs="Times New Roman"/>
          <w:sz w:val="24"/>
          <w:szCs w:val="24"/>
        </w:rPr>
      </w:pPr>
    </w:p>
    <w:p>
      <w:pPr>
        <w:spacing w:line="480" w:lineRule="exact"/>
        <w:rPr>
          <w:rFonts w:ascii="黑体" w:eastAsia="黑体" w:cs="黑体"/>
          <w:sz w:val="32"/>
          <w:szCs w:val="32"/>
        </w:rPr>
      </w:pPr>
    </w:p>
    <w:p>
      <w:pPr>
        <w:spacing w:line="480" w:lineRule="exact"/>
        <w:rPr>
          <w:rFonts w:ascii="黑体" w:eastAsia="黑体" w:cs="黑体"/>
          <w:sz w:val="32"/>
          <w:szCs w:val="32"/>
        </w:rPr>
      </w:pPr>
      <w:r>
        <w:rPr>
          <w:rFonts w:hint="eastAsia" w:ascii="黑体" w:eastAsia="黑体" w:cs="黑体"/>
          <w:sz w:val="32"/>
          <w:szCs w:val="32"/>
        </w:rPr>
        <w:t>附件5</w:t>
      </w:r>
    </w:p>
    <w:p>
      <w:pPr>
        <w:adjustRightInd w:val="0"/>
        <w:snapToGrid w:val="0"/>
        <w:spacing w:line="360" w:lineRule="auto"/>
        <w:jc w:val="center"/>
        <w:rPr>
          <w:rFonts w:ascii="?????_GBK" w:hAnsi="宋体" w:eastAsia="Times New Roman" w:cs="Times New Roman"/>
          <w:sz w:val="36"/>
          <w:szCs w:val="36"/>
        </w:rPr>
      </w:pPr>
      <w:r>
        <w:rPr>
          <w:rFonts w:hint="eastAsia" w:ascii="黑体" w:hAnsi="宋体" w:eastAsia="黑体" w:cs="黑体"/>
          <w:b/>
          <w:bCs/>
          <w:sz w:val="32"/>
          <w:szCs w:val="32"/>
        </w:rPr>
        <w:t>供应商的资格条件更新材料</w:t>
      </w:r>
    </w:p>
    <w:p>
      <w:pPr>
        <w:adjustRightInd w:val="0"/>
        <w:snapToGrid w:val="0"/>
        <w:spacing w:beforeLines="50" w:line="360" w:lineRule="auto"/>
        <w:rPr>
          <w:rFonts w:ascii="仿宋_GB2312" w:hAnsi="宋体" w:eastAsia="仿宋_GB2312" w:cs="Times New Roman"/>
        </w:rPr>
      </w:pPr>
    </w:p>
    <w:p>
      <w:pPr>
        <w:adjustRightInd w:val="0"/>
        <w:snapToGrid w:val="0"/>
        <w:spacing w:line="360" w:lineRule="auto"/>
        <w:ind w:firstLine="580" w:firstLineChars="200"/>
        <w:rPr>
          <w:rFonts w:ascii="仿宋_GB2312" w:hAnsi="宋体" w:eastAsia="仿宋_GB2312" w:cs="Times New Roman"/>
          <w:sz w:val="29"/>
          <w:szCs w:val="29"/>
        </w:rPr>
      </w:pPr>
      <w:r>
        <w:rPr>
          <w:rFonts w:hint="eastAsia" w:ascii="仿宋_GB2312" w:hAnsi="宋体" w:eastAsia="仿宋_GB2312" w:cs="仿宋_GB2312"/>
          <w:sz w:val="29"/>
          <w:szCs w:val="29"/>
        </w:rPr>
        <w:t>说明：</w:t>
      </w:r>
      <w:r>
        <w:rPr>
          <w:rFonts w:hint="eastAsia" w:ascii="仿宋_GB2312" w:hAnsi="宋体" w:eastAsia="仿宋_GB2312" w:cs="仿宋_GB2312"/>
          <w:sz w:val="29"/>
          <w:szCs w:val="29"/>
          <w:lang w:val="zh-CN"/>
        </w:rPr>
        <w:t>供应商根据谈判文件第二章第</w:t>
      </w:r>
      <w:r>
        <w:rPr>
          <w:rFonts w:ascii="仿宋_GB2312" w:hAnsi="宋体" w:eastAsia="仿宋_GB2312" w:cs="仿宋_GB2312"/>
          <w:sz w:val="29"/>
          <w:szCs w:val="29"/>
          <w:lang w:val="zh-CN"/>
        </w:rPr>
        <w:t>16.1</w:t>
      </w:r>
      <w:r>
        <w:rPr>
          <w:rFonts w:hint="eastAsia" w:ascii="仿宋_GB2312" w:hAnsi="宋体" w:eastAsia="仿宋_GB2312" w:cs="仿宋_GB2312"/>
          <w:sz w:val="29"/>
          <w:szCs w:val="29"/>
          <w:lang w:val="zh-CN"/>
        </w:rPr>
        <w:t>项“</w:t>
      </w:r>
      <w:r>
        <w:rPr>
          <w:rFonts w:hint="eastAsia" w:ascii="仿宋_GB2312" w:hAnsi="宋体" w:eastAsia="仿宋_GB2312" w:cs="仿宋_GB2312"/>
          <w:sz w:val="29"/>
          <w:szCs w:val="29"/>
        </w:rPr>
        <w:t>在谈判小组确定邀请供应商名单起至提交首次响应文件止，供应商资格条件发生重大变化，可能影响资格条件的，供应商应更新或者补充提供的资格证明材料，以证实其各项条件仍能继续满足本章第</w:t>
      </w:r>
      <w:r>
        <w:rPr>
          <w:rFonts w:ascii="仿宋_GB2312" w:hAnsi="宋体" w:eastAsia="仿宋_GB2312" w:cs="仿宋_GB2312"/>
          <w:sz w:val="29"/>
          <w:szCs w:val="29"/>
        </w:rPr>
        <w:t>3.1</w:t>
      </w:r>
      <w:r>
        <w:rPr>
          <w:rFonts w:hint="eastAsia" w:ascii="仿宋_GB2312" w:hAnsi="宋体" w:eastAsia="仿宋_GB2312" w:cs="仿宋_GB2312"/>
          <w:sz w:val="29"/>
          <w:szCs w:val="29"/>
        </w:rPr>
        <w:t>项规定的供应商资格条件要求</w:t>
      </w:r>
      <w:r>
        <w:rPr>
          <w:rFonts w:hint="eastAsia" w:ascii="仿宋_GB2312" w:hAnsi="宋体" w:eastAsia="仿宋_GB2312" w:cs="仿宋_GB2312"/>
          <w:sz w:val="29"/>
          <w:szCs w:val="29"/>
          <w:lang w:val="zh-CN"/>
        </w:rPr>
        <w:t>”的规定，应</w:t>
      </w:r>
      <w:r>
        <w:rPr>
          <w:rFonts w:hint="eastAsia" w:ascii="仿宋_GB2312" w:hAnsi="宋体" w:eastAsia="仿宋_GB2312" w:cs="仿宋_GB2312"/>
          <w:sz w:val="29"/>
          <w:szCs w:val="29"/>
        </w:rPr>
        <w:t>提供的更新或者补充资格证明材料。</w:t>
      </w:r>
    </w:p>
    <w:p>
      <w:pPr>
        <w:adjustRightInd w:val="0"/>
        <w:snapToGrid w:val="0"/>
        <w:spacing w:line="360" w:lineRule="auto"/>
        <w:rPr>
          <w:rFonts w:ascii="宋体" w:cs="Times New Roman"/>
        </w:rPr>
      </w:pPr>
    </w:p>
    <w:p>
      <w:pPr>
        <w:adjustRightInd w:val="0"/>
        <w:snapToGrid w:val="0"/>
        <w:spacing w:line="360" w:lineRule="auto"/>
        <w:ind w:firstLine="630" w:firstLineChars="300"/>
        <w:rPr>
          <w:rFonts w:ascii="宋体" w:cs="Times New Roman"/>
        </w:rPr>
      </w:pPr>
      <w:r>
        <w:rPr>
          <w:rFonts w:ascii="宋体" w:cs="Times New Roman"/>
        </w:rPr>
        <w:br w:type="page"/>
      </w:r>
    </w:p>
    <w:p>
      <w:pPr>
        <w:adjustRightInd w:val="0"/>
        <w:snapToGrid w:val="0"/>
        <w:rPr>
          <w:rFonts w:ascii="黑体" w:hAnsi="宋体" w:eastAsia="黑体" w:cs="黑体"/>
          <w:sz w:val="32"/>
          <w:szCs w:val="32"/>
        </w:rPr>
      </w:pPr>
      <w:r>
        <w:rPr>
          <w:rFonts w:hint="eastAsia" w:ascii="黑体" w:hAnsi="宋体" w:eastAsia="黑体" w:cs="黑体"/>
          <w:sz w:val="32"/>
          <w:szCs w:val="32"/>
        </w:rPr>
        <w:t>附件6</w:t>
      </w:r>
    </w:p>
    <w:p>
      <w:pPr>
        <w:adjustRightInd w:val="0"/>
        <w:snapToGrid w:val="0"/>
        <w:ind w:left="-88" w:leftChars="-42" w:firstLine="320" w:firstLineChars="100"/>
        <w:rPr>
          <w:rFonts w:ascii="黑体" w:hAnsi="宋体" w:eastAsia="黑体" w:cs="黑体"/>
          <w:sz w:val="32"/>
          <w:szCs w:val="32"/>
        </w:rPr>
      </w:pPr>
    </w:p>
    <w:p>
      <w:pPr>
        <w:adjustRightInd w:val="0"/>
        <w:snapToGrid w:val="0"/>
        <w:ind w:left="-88" w:leftChars="-42" w:firstLine="321" w:firstLineChars="100"/>
        <w:jc w:val="center"/>
        <w:rPr>
          <w:rFonts w:ascii="黑体" w:hAnsi="宋体" w:eastAsia="黑体" w:cs="黑体"/>
          <w:b/>
          <w:sz w:val="32"/>
          <w:szCs w:val="32"/>
        </w:rPr>
      </w:pPr>
      <w:r>
        <w:rPr>
          <w:rFonts w:hint="eastAsia" w:ascii="黑体" w:hAnsi="宋体" w:eastAsia="黑体" w:cs="黑体"/>
          <w:b/>
          <w:sz w:val="32"/>
          <w:szCs w:val="32"/>
        </w:rPr>
        <w:t>联合体协议（格式）</w:t>
      </w:r>
    </w:p>
    <w:p>
      <w:pPr>
        <w:adjustRightInd w:val="0"/>
        <w:snapToGrid w:val="0"/>
        <w:ind w:left="-88" w:leftChars="-42" w:firstLine="320" w:firstLineChars="100"/>
        <w:jc w:val="center"/>
        <w:rPr>
          <w:rFonts w:ascii="黑体" w:hAnsi="宋体" w:eastAsia="黑体" w:cs="黑体"/>
          <w:sz w:val="32"/>
          <w:szCs w:val="32"/>
        </w:rPr>
      </w:pPr>
    </w:p>
    <w:p>
      <w:pPr>
        <w:spacing w:line="360" w:lineRule="auto"/>
        <w:ind w:firstLine="420" w:firstLineChars="200"/>
        <w:rPr>
          <w:rFonts w:ascii="宋体" w:hAnsi="宋体" w:cs="宋体"/>
        </w:rPr>
      </w:pPr>
      <w:r>
        <w:rPr>
          <w:rFonts w:hint="eastAsia" w:ascii="宋体" w:hAnsi="宋体" w:cs="宋体"/>
        </w:rPr>
        <w:t xml:space="preserve">致 </w:t>
      </w:r>
      <w:r>
        <w:rPr>
          <w:rFonts w:hint="eastAsia" w:ascii="宋体" w:hAnsi="宋体" w:cs="宋体"/>
          <w:u w:val="single"/>
        </w:rPr>
        <w:t xml:space="preserve">              </w:t>
      </w:r>
      <w:r>
        <w:rPr>
          <w:rFonts w:hint="eastAsia" w:ascii="宋体" w:hAnsi="宋体" w:cs="宋体"/>
        </w:rPr>
        <w:t>（采购人或采购代理机构）：</w:t>
      </w:r>
    </w:p>
    <w:p>
      <w:pPr>
        <w:spacing w:line="360" w:lineRule="auto"/>
        <w:ind w:firstLine="420" w:firstLineChars="200"/>
        <w:rPr>
          <w:rFonts w:ascii="宋体" w:hAnsi="宋体" w:cs="宋体"/>
        </w:rPr>
      </w:pPr>
      <w:r>
        <w:rPr>
          <w:rFonts w:hint="eastAsia" w:ascii="宋体" w:hAnsi="宋体" w:cs="宋体"/>
        </w:rPr>
        <w:t xml:space="preserve">经研究，我们决定自愿组成联合体共同申请参加 </w:t>
      </w:r>
      <w:r>
        <w:rPr>
          <w:rFonts w:hint="eastAsia" w:ascii="宋体" w:hAnsi="宋体" w:cs="宋体"/>
          <w:u w:val="single"/>
        </w:rPr>
        <w:t xml:space="preserve">                    </w:t>
      </w:r>
      <w:r>
        <w:rPr>
          <w:rFonts w:hint="eastAsia" w:ascii="宋体" w:hAnsi="宋体" w:cs="宋体"/>
        </w:rPr>
        <w:t xml:space="preserve">（项目名称）项目 </w:t>
      </w:r>
      <w:r>
        <w:rPr>
          <w:rFonts w:hint="eastAsia" w:ascii="宋体" w:hAnsi="宋体" w:cs="宋体"/>
          <w:u w:val="single"/>
        </w:rPr>
        <w:t xml:space="preserve">                 </w:t>
      </w:r>
      <w:r>
        <w:rPr>
          <w:rFonts w:hint="eastAsia" w:ascii="宋体" w:hAnsi="宋体" w:cs="宋体"/>
        </w:rPr>
        <w:t>（政府采购编号、采购代理编号）的竞争性谈判。现就联合体事宜订立如下协议：</w:t>
      </w:r>
    </w:p>
    <w:p>
      <w:pPr>
        <w:spacing w:line="360" w:lineRule="auto"/>
        <w:ind w:firstLine="420" w:firstLineChars="200"/>
        <w:rPr>
          <w:rFonts w:ascii="宋体" w:hAnsi="宋体" w:cs="宋体"/>
        </w:rPr>
      </w:pPr>
      <w:r>
        <w:rPr>
          <w:rFonts w:hint="eastAsia" w:ascii="宋体" w:hAnsi="宋体" w:cs="宋体"/>
        </w:rPr>
        <w:t xml:space="preserve">一、联合体基本信息： </w:t>
      </w:r>
      <w:r>
        <w:rPr>
          <w:rFonts w:hint="eastAsia" w:ascii="宋体" w:hAnsi="宋体" w:cs="宋体"/>
          <w:u w:val="single"/>
        </w:rPr>
        <w:t xml:space="preserve">                         </w:t>
      </w:r>
      <w:r>
        <w:rPr>
          <w:rFonts w:hint="eastAsia" w:ascii="宋体" w:hAnsi="宋体" w:cs="宋体"/>
        </w:rPr>
        <w:t>（各方公司名称、地址、营业执照、法定代表人姓名）</w:t>
      </w:r>
    </w:p>
    <w:p>
      <w:pPr>
        <w:spacing w:line="360" w:lineRule="auto"/>
        <w:ind w:firstLine="420" w:firstLineChars="200"/>
        <w:rPr>
          <w:rFonts w:ascii="宋体" w:hAnsi="宋体" w:cs="宋体"/>
        </w:rPr>
      </w:pPr>
      <w:r>
        <w:rPr>
          <w:rFonts w:hint="eastAsia" w:ascii="宋体" w:hAnsi="宋体" w:cs="宋体"/>
        </w:rPr>
        <w:t>二、</w:t>
      </w:r>
      <w:r>
        <w:rPr>
          <w:rFonts w:hint="eastAsia" w:ascii="宋体" w:hAnsi="宋体" w:cs="宋体"/>
          <w:u w:val="single"/>
        </w:rPr>
        <w:t xml:space="preserve">                 </w:t>
      </w:r>
      <w:r>
        <w:rPr>
          <w:rFonts w:hint="eastAsia" w:ascii="宋体" w:hAnsi="宋体" w:cs="宋体"/>
        </w:rPr>
        <w:t>（某成员单位名称）为</w:t>
      </w:r>
      <w:r>
        <w:rPr>
          <w:rFonts w:hint="eastAsia" w:ascii="宋体" w:hAnsi="宋体" w:cs="宋体"/>
          <w:u w:val="single"/>
        </w:rPr>
        <w:t xml:space="preserve">           </w:t>
      </w:r>
      <w:r>
        <w:rPr>
          <w:rFonts w:hint="eastAsia" w:ascii="宋体" w:hAnsi="宋体" w:cs="宋体"/>
        </w:rPr>
        <w:t>（联合体名称）牵头人。</w:t>
      </w:r>
    </w:p>
    <w:p>
      <w:pPr>
        <w:spacing w:line="360" w:lineRule="auto"/>
        <w:ind w:firstLine="420" w:firstLineChars="200"/>
        <w:rPr>
          <w:rFonts w:ascii="宋体" w:hAnsi="宋体" w:cs="宋体"/>
        </w:rPr>
      </w:pPr>
      <w:r>
        <w:rPr>
          <w:rFonts w:hint="eastAsia" w:ascii="宋体" w:hAnsi="宋体" w:cs="宋体"/>
        </w:rPr>
        <w:t>三、联合体牵头人合法代表联合体各成员负责本项目响应文件编制活动，代表联合体提交和接收相关的资料、信息及指示，并处理与谈判和成交有关的一切事务；联合体成交后，联合体牵头人负责合同订立和合同实施阶段的主办、组织和协调工作。</w:t>
      </w:r>
    </w:p>
    <w:p>
      <w:pPr>
        <w:spacing w:line="360" w:lineRule="auto"/>
        <w:ind w:firstLine="420" w:firstLineChars="200"/>
        <w:rPr>
          <w:rFonts w:ascii="宋体" w:hAnsi="宋体" w:cs="宋体"/>
        </w:rPr>
      </w:pPr>
      <w:r>
        <w:rPr>
          <w:rFonts w:hint="eastAsia" w:ascii="宋体" w:hAnsi="宋体" w:cs="宋体"/>
        </w:rPr>
        <w:t>四、联合体将严格按照谈判文件的各项要求，递交响应文件，参加谈判，履行成交义务和成交后的合同，并向采购人承担连带责任。</w:t>
      </w:r>
    </w:p>
    <w:p>
      <w:pPr>
        <w:spacing w:line="360" w:lineRule="auto"/>
        <w:ind w:firstLine="420" w:firstLineChars="200"/>
        <w:rPr>
          <w:rFonts w:ascii="宋体" w:hAnsi="宋体" w:cs="宋体"/>
        </w:rPr>
      </w:pPr>
      <w:r>
        <w:rPr>
          <w:rFonts w:hint="eastAsia" w:ascii="宋体" w:hAnsi="宋体" w:cs="宋体"/>
        </w:rPr>
        <w:t>五、联合体各成员单位内部的职责分工如下：</w:t>
      </w:r>
      <w:r>
        <w:rPr>
          <w:rFonts w:hint="eastAsia" w:ascii="宋体" w:hAnsi="宋体" w:cs="宋体"/>
          <w:u w:val="single"/>
        </w:rPr>
        <w:t xml:space="preserve">             </w:t>
      </w:r>
      <w:r>
        <w:rPr>
          <w:rFonts w:hint="eastAsia" w:ascii="宋体" w:hAnsi="宋体" w:cs="宋体"/>
        </w:rPr>
        <w:t>。按照本条上述分工，联合体成员单位各自所承担的合同工作量比例如下：</w:t>
      </w:r>
      <w:r>
        <w:rPr>
          <w:rFonts w:hint="eastAsia" w:ascii="宋体" w:hAnsi="宋体" w:cs="宋体"/>
          <w:u w:val="single"/>
        </w:rPr>
        <w:t xml:space="preserve">                  </w:t>
      </w:r>
      <w:r>
        <w:rPr>
          <w:rFonts w:hint="eastAsia" w:ascii="宋体" w:hAnsi="宋体" w:cs="宋体"/>
        </w:rPr>
        <w:t>。</w:t>
      </w:r>
    </w:p>
    <w:p>
      <w:pPr>
        <w:spacing w:line="360" w:lineRule="auto"/>
        <w:ind w:firstLine="420" w:firstLineChars="200"/>
        <w:rPr>
          <w:rFonts w:ascii="宋体" w:hAnsi="宋体" w:cs="宋体"/>
        </w:rPr>
      </w:pPr>
      <w:r>
        <w:rPr>
          <w:rFonts w:hint="eastAsia" w:ascii="宋体" w:hAnsi="宋体" w:cs="宋体"/>
        </w:rPr>
        <w:t>六、本协议书自签署之日起生效，合同履行完毕后自动失效。</w:t>
      </w:r>
    </w:p>
    <w:p>
      <w:pPr>
        <w:spacing w:line="360" w:lineRule="auto"/>
        <w:ind w:firstLine="420" w:firstLineChars="200"/>
        <w:rPr>
          <w:rFonts w:ascii="宋体" w:hAnsi="宋体" w:cs="宋体"/>
        </w:rPr>
      </w:pPr>
      <w:r>
        <w:rPr>
          <w:rFonts w:hint="eastAsia" w:ascii="宋体" w:hAnsi="宋体" w:cs="宋体"/>
        </w:rPr>
        <w:t>七、本协议书一式</w:t>
      </w:r>
      <w:r>
        <w:rPr>
          <w:rFonts w:hint="eastAsia" w:ascii="宋体" w:hAnsi="宋体" w:cs="宋体"/>
          <w:u w:val="single"/>
        </w:rPr>
        <w:t xml:space="preserve">       </w:t>
      </w:r>
      <w:r>
        <w:rPr>
          <w:rFonts w:hint="eastAsia" w:ascii="宋体" w:hAnsi="宋体" w:cs="宋体"/>
        </w:rPr>
        <w:t>份，联合体成员和采购人各执一份。</w:t>
      </w:r>
    </w:p>
    <w:p>
      <w:pPr>
        <w:spacing w:line="360" w:lineRule="auto"/>
        <w:ind w:firstLine="420" w:firstLineChars="200"/>
        <w:rPr>
          <w:rFonts w:ascii="宋体" w:hAnsi="宋体" w:cs="宋体"/>
        </w:rPr>
      </w:pPr>
    </w:p>
    <w:p>
      <w:pPr>
        <w:spacing w:line="360" w:lineRule="auto"/>
        <w:ind w:firstLine="420" w:firstLineChars="200"/>
        <w:rPr>
          <w:rFonts w:ascii="宋体" w:hAnsi="宋体" w:cs="宋体"/>
        </w:rPr>
      </w:pPr>
      <w:r>
        <w:rPr>
          <w:rFonts w:hint="eastAsia" w:ascii="宋体" w:hAnsi="宋体" w:cs="宋体"/>
        </w:rPr>
        <w:t>牵头人名称（盖单位章）：</w:t>
      </w:r>
    </w:p>
    <w:p>
      <w:pPr>
        <w:spacing w:line="360" w:lineRule="auto"/>
        <w:ind w:firstLine="420" w:firstLineChars="200"/>
        <w:rPr>
          <w:rFonts w:ascii="宋体" w:hAnsi="宋体" w:cs="宋体"/>
        </w:rPr>
      </w:pPr>
      <w:r>
        <w:rPr>
          <w:rFonts w:hint="eastAsia" w:ascii="宋体" w:hAnsi="宋体" w:cs="宋体"/>
        </w:rPr>
        <w:t>法定代表人或其委托代理人（签字）：</w:t>
      </w:r>
      <w:r>
        <w:rPr>
          <w:rFonts w:hint="eastAsia" w:ascii="宋体" w:hAnsi="宋体" w:cs="宋体"/>
          <w:u w:val="single"/>
        </w:rPr>
        <w:t xml:space="preserve">             </w:t>
      </w:r>
    </w:p>
    <w:p>
      <w:pPr>
        <w:spacing w:line="360" w:lineRule="auto"/>
        <w:ind w:firstLine="420" w:firstLineChars="200"/>
        <w:rPr>
          <w:rFonts w:ascii="宋体" w:hAnsi="宋体" w:cs="宋体"/>
        </w:rPr>
      </w:pPr>
    </w:p>
    <w:p>
      <w:pPr>
        <w:spacing w:line="360" w:lineRule="auto"/>
        <w:ind w:firstLine="420" w:firstLineChars="200"/>
        <w:rPr>
          <w:rFonts w:ascii="宋体" w:hAnsi="宋体" w:cs="宋体"/>
        </w:rPr>
      </w:pPr>
      <w:r>
        <w:rPr>
          <w:rFonts w:hint="eastAsia" w:ascii="宋体" w:hAnsi="宋体" w:cs="宋体"/>
        </w:rPr>
        <w:t>成员二名称（盖单位章）：</w:t>
      </w:r>
    </w:p>
    <w:p>
      <w:pPr>
        <w:spacing w:line="360" w:lineRule="auto"/>
        <w:ind w:firstLine="420" w:firstLineChars="200"/>
        <w:rPr>
          <w:rFonts w:ascii="宋体" w:hAnsi="宋体" w:cs="宋体"/>
        </w:rPr>
      </w:pPr>
      <w:r>
        <w:rPr>
          <w:rFonts w:hint="eastAsia" w:ascii="宋体" w:hAnsi="宋体" w:cs="宋体"/>
        </w:rPr>
        <w:t>法定代表人或其委托代理人（签字）：</w:t>
      </w:r>
      <w:r>
        <w:rPr>
          <w:rFonts w:hint="eastAsia" w:ascii="宋体" w:hAnsi="宋体" w:cs="宋体"/>
          <w:u w:val="single"/>
        </w:rPr>
        <w:t xml:space="preserve">             </w:t>
      </w:r>
    </w:p>
    <w:p>
      <w:pPr>
        <w:spacing w:line="360" w:lineRule="auto"/>
        <w:ind w:firstLine="1155" w:firstLineChars="550"/>
        <w:rPr>
          <w:rFonts w:ascii="宋体" w:hAnsi="宋体" w:cs="宋体"/>
        </w:rPr>
      </w:pP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spacing w:line="360" w:lineRule="auto"/>
        <w:ind w:firstLine="420" w:firstLineChars="200"/>
        <w:rPr>
          <w:rFonts w:ascii="宋体" w:hAnsi="宋体" w:cs="宋体"/>
        </w:rPr>
      </w:pPr>
    </w:p>
    <w:p>
      <w:pPr>
        <w:spacing w:line="360" w:lineRule="auto"/>
        <w:ind w:firstLine="210" w:firstLineChars="100"/>
        <w:rPr>
          <w:rFonts w:ascii="宋体" w:hAnsi="宋体" w:cs="宋体"/>
        </w:rPr>
      </w:pPr>
      <w:r>
        <w:rPr>
          <w:rFonts w:hint="eastAsia" w:ascii="宋体" w:hAnsi="宋体" w:cs="宋体"/>
        </w:rPr>
        <w:t>说明：1、本协议书由委托代理人签字的，应附法定代表人签字的授权委托书。</w:t>
      </w:r>
    </w:p>
    <w:p>
      <w:pPr>
        <w:spacing w:line="360" w:lineRule="auto"/>
        <w:ind w:firstLine="735" w:firstLineChars="350"/>
        <w:rPr>
          <w:rFonts w:ascii="宋体" w:hAnsi="宋体" w:cs="宋体"/>
        </w:rPr>
      </w:pPr>
      <w:r>
        <w:rPr>
          <w:rFonts w:hint="eastAsia" w:ascii="宋体" w:hAnsi="宋体" w:cs="宋体"/>
        </w:rPr>
        <w:t>2、联合体符合《工业和信息化部、国家统计局、国家发展和改革委员会、财政部关于印发中小企业划型标准规定的通知》（工信部联企业[2011]300号）和《财政部 工业和信息化部关于印发〈政府采购促进中小企业发展暂行办法〉的通知》（财库[2011]181号）相关规定的，提交《附件8：中小企业声明函》。</w:t>
      </w: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spacing w:line="360" w:lineRule="auto"/>
        <w:rPr>
          <w:rFonts w:ascii="宋体" w:hAnsi="宋体" w:cs="宋体"/>
        </w:rPr>
      </w:pPr>
    </w:p>
    <w:p>
      <w:pPr>
        <w:adjustRightInd w:val="0"/>
        <w:snapToGrid w:val="0"/>
        <w:spacing w:line="360" w:lineRule="auto"/>
        <w:ind w:firstLine="964" w:firstLineChars="300"/>
        <w:rPr>
          <w:rFonts w:ascii="黑体" w:eastAsia="黑体" w:cs="Times New Roman"/>
          <w:b/>
          <w:bCs/>
          <w:sz w:val="32"/>
          <w:szCs w:val="32"/>
        </w:rPr>
      </w:pPr>
      <w:r>
        <w:rPr>
          <w:rFonts w:hint="eastAsia" w:ascii="黑体" w:eastAsia="黑体" w:cs="黑体"/>
          <w:b/>
          <w:bCs/>
          <w:sz w:val="32"/>
          <w:szCs w:val="32"/>
        </w:rPr>
        <w:t>四、货物说明或者</w:t>
      </w:r>
      <w:r>
        <w:rPr>
          <w:rFonts w:hint="eastAsia" w:ascii="黑体" w:hAnsi="宋体" w:eastAsia="黑体" w:cs="黑体"/>
          <w:b/>
          <w:bCs/>
          <w:sz w:val="32"/>
          <w:szCs w:val="32"/>
        </w:rPr>
        <w:t>施工组织设计或者服务方案</w:t>
      </w:r>
    </w:p>
    <w:p>
      <w:pPr>
        <w:adjustRightInd w:val="0"/>
        <w:snapToGrid w:val="0"/>
        <w:ind w:left="-88" w:leftChars="-42" w:firstLine="210" w:firstLineChars="100"/>
        <w:rPr>
          <w:rFonts w:ascii="宋体" w:cs="Times New Roman"/>
        </w:rPr>
      </w:pPr>
    </w:p>
    <w:p>
      <w:pPr>
        <w:adjustRightInd w:val="0"/>
        <w:snapToGrid w:val="0"/>
        <w:ind w:left="-88" w:leftChars="-42" w:firstLine="320" w:firstLineChars="100"/>
        <w:rPr>
          <w:rFonts w:ascii="黑体" w:hAnsi="宋体" w:eastAsia="黑体" w:cs="黑体"/>
          <w:sz w:val="32"/>
          <w:szCs w:val="32"/>
        </w:rPr>
      </w:pPr>
      <w:r>
        <w:rPr>
          <w:rFonts w:hint="eastAsia" w:ascii="黑体" w:hAnsi="宋体" w:eastAsia="黑体" w:cs="黑体"/>
          <w:sz w:val="32"/>
          <w:szCs w:val="32"/>
        </w:rPr>
        <w:t>附件7</w:t>
      </w:r>
    </w:p>
    <w:p>
      <w:pPr>
        <w:adjustRightInd w:val="0"/>
        <w:snapToGrid w:val="0"/>
        <w:ind w:left="-88" w:leftChars="-42" w:firstLine="321" w:firstLineChars="100"/>
        <w:jc w:val="center"/>
        <w:rPr>
          <w:rFonts w:ascii="?????_GBK" w:hAnsi="宋体" w:eastAsia="Times New Roman" w:cs="Times New Roman"/>
          <w:sz w:val="36"/>
          <w:szCs w:val="36"/>
        </w:rPr>
      </w:pPr>
      <w:r>
        <w:rPr>
          <w:rFonts w:hint="eastAsia" w:ascii="黑体" w:hAnsi="宋体" w:eastAsia="黑体" w:cs="黑体"/>
          <w:b/>
          <w:bCs/>
          <w:sz w:val="32"/>
          <w:szCs w:val="32"/>
        </w:rPr>
        <w:t>技术指标说明（货物类适用）</w:t>
      </w:r>
    </w:p>
    <w:p>
      <w:pPr>
        <w:adjustRightInd w:val="0"/>
        <w:snapToGrid w:val="0"/>
        <w:ind w:left="-88" w:leftChars="-42" w:firstLine="210" w:firstLineChars="100"/>
        <w:rPr>
          <w:rFonts w:ascii="宋体" w:cs="Times New Roman"/>
        </w:rPr>
      </w:pPr>
    </w:p>
    <w:p>
      <w:pPr>
        <w:adjustRightInd w:val="0"/>
        <w:snapToGrid w:val="0"/>
        <w:ind w:left="-88" w:leftChars="-42" w:firstLine="210" w:firstLineChars="100"/>
        <w:rPr>
          <w:rFonts w:ascii="宋体" w:cs="Times New Roman"/>
        </w:rPr>
      </w:pPr>
      <w:r>
        <w:rPr>
          <w:rFonts w:hint="eastAsia" w:ascii="宋体" w:hAnsi="宋体" w:cs="宋体"/>
        </w:rPr>
        <w:t>包号</w:t>
      </w:r>
    </w:p>
    <w:tbl>
      <w:tblPr>
        <w:tblStyle w:val="13"/>
        <w:tblW w:w="9122" w:type="dxa"/>
        <w:tblInd w:w="-106"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540"/>
        <w:gridCol w:w="1440"/>
        <w:gridCol w:w="1260"/>
        <w:gridCol w:w="1080"/>
        <w:gridCol w:w="1771"/>
        <w:gridCol w:w="1771"/>
        <w:gridCol w:w="1260"/>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540" w:type="dxa"/>
            <w:tcBorders>
              <w:top w:val="double" w:color="auto" w:sz="4" w:space="0"/>
            </w:tcBorders>
            <w:vAlign w:val="center"/>
          </w:tcPr>
          <w:p>
            <w:pPr>
              <w:adjustRightInd w:val="0"/>
              <w:snapToGrid w:val="0"/>
              <w:spacing w:line="400" w:lineRule="atLeast"/>
              <w:ind w:left="-88" w:leftChars="-42"/>
              <w:jc w:val="center"/>
              <w:rPr>
                <w:rFonts w:ascii="宋体" w:cs="Times New Roman"/>
              </w:rPr>
            </w:pPr>
          </w:p>
          <w:p>
            <w:pPr>
              <w:adjustRightInd w:val="0"/>
              <w:snapToGrid w:val="0"/>
              <w:spacing w:line="400" w:lineRule="atLeast"/>
              <w:ind w:left="-88" w:leftChars="-42"/>
              <w:jc w:val="center"/>
              <w:rPr>
                <w:rFonts w:ascii="宋体" w:cs="Times New Roman"/>
              </w:rPr>
            </w:pPr>
            <w:r>
              <w:rPr>
                <w:rFonts w:hint="eastAsia" w:ascii="宋体" w:hAnsi="宋体" w:cs="宋体"/>
              </w:rPr>
              <w:t>序号</w:t>
            </w:r>
          </w:p>
        </w:tc>
        <w:tc>
          <w:tcPr>
            <w:tcW w:w="1440" w:type="dxa"/>
            <w:tcBorders>
              <w:top w:val="double" w:color="auto" w:sz="4" w:space="0"/>
            </w:tcBorders>
            <w:vAlign w:val="center"/>
          </w:tcPr>
          <w:p>
            <w:pPr>
              <w:adjustRightInd w:val="0"/>
              <w:snapToGrid w:val="0"/>
              <w:spacing w:line="400" w:lineRule="atLeast"/>
              <w:ind w:left="-88" w:leftChars="-42"/>
              <w:jc w:val="center"/>
              <w:rPr>
                <w:rFonts w:ascii="宋体" w:hAnsi="宋体" w:cs="宋体"/>
              </w:rPr>
            </w:pPr>
            <w:r>
              <w:rPr>
                <w:rFonts w:hint="eastAsia" w:ascii="宋体" w:hAnsi="宋体" w:cs="宋体"/>
              </w:rPr>
              <w:t>货物名称</w:t>
            </w:r>
          </w:p>
          <w:p>
            <w:pPr>
              <w:adjustRightInd w:val="0"/>
              <w:snapToGrid w:val="0"/>
              <w:spacing w:line="400" w:lineRule="atLeast"/>
              <w:ind w:left="-88" w:leftChars="-42"/>
              <w:jc w:val="center"/>
              <w:rPr>
                <w:rFonts w:ascii="宋体" w:cs="Times New Roman"/>
              </w:rPr>
            </w:pPr>
            <w:r>
              <w:rPr>
                <w:rFonts w:hint="eastAsia" w:ascii="宋体" w:hAnsi="宋体" w:cs="宋体"/>
              </w:rPr>
              <w:t>（品目分类）</w:t>
            </w:r>
          </w:p>
        </w:tc>
        <w:tc>
          <w:tcPr>
            <w:tcW w:w="1260" w:type="dxa"/>
            <w:tcBorders>
              <w:top w:val="double" w:color="auto" w:sz="4" w:space="0"/>
            </w:tcBorders>
            <w:vAlign w:val="center"/>
          </w:tcPr>
          <w:p>
            <w:pPr>
              <w:adjustRightInd w:val="0"/>
              <w:snapToGrid w:val="0"/>
              <w:spacing w:line="400" w:lineRule="atLeast"/>
              <w:ind w:left="-88" w:leftChars="-42"/>
              <w:jc w:val="center"/>
              <w:rPr>
                <w:rFonts w:ascii="宋体" w:cs="Times New Roman"/>
              </w:rPr>
            </w:pPr>
            <w:r>
              <w:rPr>
                <w:rFonts w:hint="eastAsia" w:ascii="宋体" w:hAnsi="宋体" w:cs="宋体"/>
              </w:rPr>
              <w:t>制造商名称</w:t>
            </w:r>
          </w:p>
        </w:tc>
        <w:tc>
          <w:tcPr>
            <w:tcW w:w="1080" w:type="dxa"/>
            <w:tcBorders>
              <w:top w:val="double" w:color="auto" w:sz="4" w:space="0"/>
            </w:tcBorders>
            <w:vAlign w:val="center"/>
          </w:tcPr>
          <w:p>
            <w:pPr>
              <w:adjustRightInd w:val="0"/>
              <w:snapToGrid w:val="0"/>
              <w:spacing w:line="400" w:lineRule="atLeast"/>
              <w:ind w:left="-88" w:leftChars="-42"/>
              <w:jc w:val="center"/>
              <w:rPr>
                <w:rFonts w:ascii="宋体" w:cs="Times New Roman"/>
              </w:rPr>
            </w:pPr>
            <w:r>
              <w:rPr>
                <w:rFonts w:hint="eastAsia" w:ascii="宋体" w:hAnsi="宋体" w:cs="宋体"/>
              </w:rPr>
              <w:t>型号规格</w:t>
            </w:r>
          </w:p>
        </w:tc>
        <w:tc>
          <w:tcPr>
            <w:tcW w:w="1771" w:type="dxa"/>
            <w:tcBorders>
              <w:top w:val="double" w:color="auto" w:sz="4" w:space="0"/>
            </w:tcBorders>
            <w:vAlign w:val="center"/>
          </w:tcPr>
          <w:p>
            <w:pPr>
              <w:adjustRightInd w:val="0"/>
              <w:snapToGrid w:val="0"/>
              <w:spacing w:line="400" w:lineRule="atLeast"/>
              <w:ind w:left="-88" w:leftChars="-42"/>
              <w:jc w:val="center"/>
              <w:rPr>
                <w:rFonts w:ascii="宋体" w:cs="Times New Roman"/>
              </w:rPr>
            </w:pPr>
            <w:r>
              <w:rPr>
                <w:rFonts w:hint="eastAsia" w:ascii="宋体" w:hAnsi="宋体" w:cs="宋体"/>
              </w:rPr>
              <w:t>主要技术参数和技术指标</w:t>
            </w:r>
          </w:p>
        </w:tc>
        <w:tc>
          <w:tcPr>
            <w:tcW w:w="1771" w:type="dxa"/>
            <w:tcBorders>
              <w:top w:val="double" w:color="auto" w:sz="4" w:space="0"/>
            </w:tcBorders>
            <w:vAlign w:val="center"/>
          </w:tcPr>
          <w:p>
            <w:pPr>
              <w:adjustRightInd w:val="0"/>
              <w:snapToGrid w:val="0"/>
              <w:spacing w:line="400" w:lineRule="atLeast"/>
              <w:ind w:left="-88" w:leftChars="-42"/>
              <w:jc w:val="center"/>
              <w:rPr>
                <w:rFonts w:ascii="宋体" w:cs="Times New Roman"/>
              </w:rPr>
            </w:pPr>
            <w:r>
              <w:rPr>
                <w:rFonts w:hint="eastAsia" w:ascii="宋体" w:hAnsi="宋体" w:cs="宋体"/>
              </w:rPr>
              <w:t>政策功能类型及编号</w:t>
            </w:r>
          </w:p>
        </w:tc>
        <w:tc>
          <w:tcPr>
            <w:tcW w:w="1260" w:type="dxa"/>
            <w:tcBorders>
              <w:top w:val="double" w:color="auto" w:sz="4" w:space="0"/>
            </w:tcBorders>
            <w:vAlign w:val="center"/>
          </w:tcPr>
          <w:p>
            <w:pPr>
              <w:adjustRightInd w:val="0"/>
              <w:snapToGrid w:val="0"/>
              <w:spacing w:line="400" w:lineRule="atLeast"/>
              <w:ind w:left="-88" w:leftChars="-42"/>
              <w:jc w:val="center"/>
              <w:rPr>
                <w:rFonts w:ascii="宋体" w:cs="Times New Roman"/>
              </w:rPr>
            </w:pPr>
            <w:r>
              <w:rPr>
                <w:rFonts w:hint="eastAsia" w:ascii="宋体" w:hAnsi="宋体" w:cs="宋体"/>
              </w:rPr>
              <w:t>备</w:t>
            </w:r>
            <w:r>
              <w:rPr>
                <w:rFonts w:ascii="宋体" w:hAnsi="宋体" w:cs="宋体"/>
              </w:rPr>
              <w:t xml:space="preserve">  </w:t>
            </w:r>
            <w:r>
              <w:rPr>
                <w:rFonts w:hint="eastAsia" w:ascii="宋体" w:hAnsi="宋体" w:cs="宋体"/>
              </w:rPr>
              <w:t>注</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540" w:type="dxa"/>
          </w:tcPr>
          <w:p>
            <w:pPr>
              <w:adjustRightInd w:val="0"/>
              <w:snapToGrid w:val="0"/>
              <w:spacing w:line="400" w:lineRule="atLeast"/>
              <w:ind w:left="-88" w:leftChars="-42"/>
              <w:jc w:val="center"/>
              <w:rPr>
                <w:rFonts w:ascii="宋体" w:cs="Times New Roman"/>
                <w:b/>
                <w:bCs/>
              </w:rPr>
            </w:pPr>
          </w:p>
        </w:tc>
        <w:tc>
          <w:tcPr>
            <w:tcW w:w="1440"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c>
          <w:tcPr>
            <w:tcW w:w="1080"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540" w:type="dxa"/>
          </w:tcPr>
          <w:p>
            <w:pPr>
              <w:adjustRightInd w:val="0"/>
              <w:snapToGrid w:val="0"/>
              <w:spacing w:line="400" w:lineRule="atLeast"/>
              <w:ind w:left="-88" w:leftChars="-42"/>
              <w:jc w:val="center"/>
              <w:rPr>
                <w:rFonts w:ascii="宋体" w:cs="Times New Roman"/>
                <w:b/>
                <w:bCs/>
              </w:rPr>
            </w:pPr>
          </w:p>
        </w:tc>
        <w:tc>
          <w:tcPr>
            <w:tcW w:w="1440"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c>
          <w:tcPr>
            <w:tcW w:w="1080"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540" w:type="dxa"/>
          </w:tcPr>
          <w:p>
            <w:pPr>
              <w:adjustRightInd w:val="0"/>
              <w:snapToGrid w:val="0"/>
              <w:spacing w:line="400" w:lineRule="atLeast"/>
              <w:ind w:left="-88" w:leftChars="-42"/>
              <w:jc w:val="center"/>
              <w:rPr>
                <w:rFonts w:ascii="宋体" w:cs="Times New Roman"/>
                <w:b/>
                <w:bCs/>
              </w:rPr>
            </w:pPr>
          </w:p>
        </w:tc>
        <w:tc>
          <w:tcPr>
            <w:tcW w:w="1440"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c>
          <w:tcPr>
            <w:tcW w:w="1080"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540" w:type="dxa"/>
          </w:tcPr>
          <w:p>
            <w:pPr>
              <w:adjustRightInd w:val="0"/>
              <w:snapToGrid w:val="0"/>
              <w:spacing w:line="400" w:lineRule="atLeast"/>
              <w:ind w:left="-88" w:leftChars="-42"/>
              <w:jc w:val="center"/>
              <w:rPr>
                <w:rFonts w:ascii="宋体" w:cs="Times New Roman"/>
                <w:b/>
                <w:bCs/>
              </w:rPr>
            </w:pPr>
          </w:p>
        </w:tc>
        <w:tc>
          <w:tcPr>
            <w:tcW w:w="1440"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c>
          <w:tcPr>
            <w:tcW w:w="1080"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771" w:type="dxa"/>
          </w:tcPr>
          <w:p>
            <w:pPr>
              <w:adjustRightInd w:val="0"/>
              <w:snapToGrid w:val="0"/>
              <w:spacing w:line="400" w:lineRule="atLeast"/>
              <w:ind w:left="-88" w:leftChars="-42"/>
              <w:jc w:val="center"/>
              <w:rPr>
                <w:rFonts w:ascii="宋体" w:cs="Times New Roman"/>
                <w:b/>
                <w:bCs/>
              </w:rPr>
            </w:pPr>
          </w:p>
        </w:tc>
        <w:tc>
          <w:tcPr>
            <w:tcW w:w="1260" w:type="dxa"/>
          </w:tcPr>
          <w:p>
            <w:pPr>
              <w:adjustRightInd w:val="0"/>
              <w:snapToGrid w:val="0"/>
              <w:spacing w:line="400" w:lineRule="atLeast"/>
              <w:ind w:left="-88" w:leftChars="-42"/>
              <w:jc w:val="center"/>
              <w:rPr>
                <w:rFonts w:ascii="宋体" w:cs="Times New Roman"/>
                <w:b/>
                <w:bCs/>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Ex>
        <w:tc>
          <w:tcPr>
            <w:tcW w:w="540" w:type="dxa"/>
            <w:tcBorders>
              <w:bottom w:val="double" w:color="auto" w:sz="4" w:space="0"/>
            </w:tcBorders>
          </w:tcPr>
          <w:p>
            <w:pPr>
              <w:adjustRightInd w:val="0"/>
              <w:snapToGrid w:val="0"/>
              <w:spacing w:line="400" w:lineRule="atLeast"/>
              <w:ind w:left="-88" w:leftChars="-42"/>
              <w:jc w:val="center"/>
              <w:rPr>
                <w:rFonts w:ascii="宋体" w:cs="Times New Roman"/>
                <w:b/>
                <w:bCs/>
              </w:rPr>
            </w:pPr>
          </w:p>
        </w:tc>
        <w:tc>
          <w:tcPr>
            <w:tcW w:w="1440" w:type="dxa"/>
            <w:tcBorders>
              <w:bottom w:val="double" w:color="auto" w:sz="4" w:space="0"/>
            </w:tcBorders>
          </w:tcPr>
          <w:p>
            <w:pPr>
              <w:adjustRightInd w:val="0"/>
              <w:snapToGrid w:val="0"/>
              <w:spacing w:line="400" w:lineRule="atLeast"/>
              <w:ind w:left="-88" w:leftChars="-42"/>
              <w:jc w:val="center"/>
              <w:rPr>
                <w:rFonts w:ascii="宋体" w:cs="Times New Roman"/>
                <w:b/>
                <w:bCs/>
              </w:rPr>
            </w:pPr>
          </w:p>
        </w:tc>
        <w:tc>
          <w:tcPr>
            <w:tcW w:w="1260" w:type="dxa"/>
            <w:tcBorders>
              <w:bottom w:val="double" w:color="auto" w:sz="4" w:space="0"/>
            </w:tcBorders>
          </w:tcPr>
          <w:p>
            <w:pPr>
              <w:adjustRightInd w:val="0"/>
              <w:snapToGrid w:val="0"/>
              <w:spacing w:line="400" w:lineRule="atLeast"/>
              <w:ind w:left="-88" w:leftChars="-42"/>
              <w:jc w:val="center"/>
              <w:rPr>
                <w:rFonts w:ascii="宋体" w:cs="Times New Roman"/>
                <w:b/>
                <w:bCs/>
              </w:rPr>
            </w:pPr>
          </w:p>
        </w:tc>
        <w:tc>
          <w:tcPr>
            <w:tcW w:w="1080" w:type="dxa"/>
            <w:tcBorders>
              <w:bottom w:val="double" w:color="auto" w:sz="4" w:space="0"/>
            </w:tcBorders>
          </w:tcPr>
          <w:p>
            <w:pPr>
              <w:adjustRightInd w:val="0"/>
              <w:snapToGrid w:val="0"/>
              <w:spacing w:line="400" w:lineRule="atLeast"/>
              <w:ind w:left="-88" w:leftChars="-42"/>
              <w:jc w:val="center"/>
              <w:rPr>
                <w:rFonts w:ascii="宋体" w:cs="Times New Roman"/>
                <w:b/>
                <w:bCs/>
              </w:rPr>
            </w:pPr>
          </w:p>
        </w:tc>
        <w:tc>
          <w:tcPr>
            <w:tcW w:w="1771" w:type="dxa"/>
            <w:tcBorders>
              <w:bottom w:val="double" w:color="auto" w:sz="4" w:space="0"/>
            </w:tcBorders>
          </w:tcPr>
          <w:p>
            <w:pPr>
              <w:adjustRightInd w:val="0"/>
              <w:snapToGrid w:val="0"/>
              <w:spacing w:line="400" w:lineRule="atLeast"/>
              <w:ind w:left="-88" w:leftChars="-42"/>
              <w:jc w:val="center"/>
              <w:rPr>
                <w:rFonts w:ascii="宋体" w:cs="Times New Roman"/>
                <w:b/>
                <w:bCs/>
              </w:rPr>
            </w:pPr>
          </w:p>
        </w:tc>
        <w:tc>
          <w:tcPr>
            <w:tcW w:w="1771" w:type="dxa"/>
            <w:tcBorders>
              <w:bottom w:val="double" w:color="auto" w:sz="4" w:space="0"/>
            </w:tcBorders>
          </w:tcPr>
          <w:p>
            <w:pPr>
              <w:adjustRightInd w:val="0"/>
              <w:snapToGrid w:val="0"/>
              <w:spacing w:line="400" w:lineRule="atLeast"/>
              <w:ind w:left="-88" w:leftChars="-42"/>
              <w:jc w:val="center"/>
              <w:rPr>
                <w:rFonts w:ascii="宋体" w:cs="Times New Roman"/>
                <w:b/>
                <w:bCs/>
              </w:rPr>
            </w:pPr>
          </w:p>
        </w:tc>
        <w:tc>
          <w:tcPr>
            <w:tcW w:w="1260" w:type="dxa"/>
            <w:tcBorders>
              <w:bottom w:val="double" w:color="auto" w:sz="4" w:space="0"/>
            </w:tcBorders>
          </w:tcPr>
          <w:p>
            <w:pPr>
              <w:adjustRightInd w:val="0"/>
              <w:snapToGrid w:val="0"/>
              <w:spacing w:line="400" w:lineRule="atLeast"/>
              <w:ind w:left="-88" w:leftChars="-42"/>
              <w:jc w:val="center"/>
              <w:rPr>
                <w:rFonts w:ascii="宋体" w:cs="Times New Roman"/>
                <w:b/>
                <w:bCs/>
              </w:rPr>
            </w:pPr>
          </w:p>
        </w:tc>
      </w:tr>
    </w:tbl>
    <w:p>
      <w:pPr>
        <w:pStyle w:val="4"/>
        <w:adjustRightInd w:val="0"/>
        <w:snapToGrid w:val="0"/>
        <w:ind w:left="-88" w:leftChars="-42"/>
        <w:outlineLvl w:val="0"/>
        <w:rPr>
          <w:rFonts w:ascii="宋体" w:cs="Times New Roman"/>
          <w:sz w:val="21"/>
          <w:szCs w:val="21"/>
        </w:rPr>
      </w:pPr>
    </w:p>
    <w:p>
      <w:pPr>
        <w:rPr>
          <w:rFonts w:ascii="宋体" w:cs="Times New Roman"/>
        </w:rPr>
      </w:pPr>
    </w:p>
    <w:p>
      <w:pPr>
        <w:rPr>
          <w:rFonts w:ascii="宋体" w:cs="Times New Roman"/>
        </w:rPr>
      </w:pPr>
    </w:p>
    <w:p>
      <w:pPr>
        <w:pStyle w:val="4"/>
        <w:adjustRightInd w:val="0"/>
        <w:snapToGrid w:val="0"/>
        <w:spacing w:line="360" w:lineRule="auto"/>
        <w:outlineLvl w:val="0"/>
        <w:rPr>
          <w:rFonts w:ascii="宋体" w:cs="Times New Roman"/>
          <w:sz w:val="21"/>
          <w:szCs w:val="21"/>
        </w:rPr>
      </w:pPr>
      <w:r>
        <w:rPr>
          <w:rFonts w:hint="eastAsia" w:ascii="宋体" w:hAnsi="宋体" w:cs="宋体"/>
          <w:sz w:val="21"/>
          <w:szCs w:val="21"/>
        </w:rPr>
        <w:t>供应商名称：</w:t>
      </w:r>
      <w:r>
        <w:rPr>
          <w:rFonts w:hint="eastAsia" w:ascii="宋体" w:hAnsi="宋体" w:cs="宋体"/>
          <w:sz w:val="21"/>
          <w:szCs w:val="21"/>
          <w:u w:val="single"/>
        </w:rPr>
        <w:t xml:space="preserve">                       </w:t>
      </w:r>
    </w:p>
    <w:p>
      <w:pPr>
        <w:adjustRightInd w:val="0"/>
        <w:snapToGrid w:val="0"/>
        <w:spacing w:line="360" w:lineRule="auto"/>
        <w:outlineLvl w:val="0"/>
        <w:rPr>
          <w:rFonts w:ascii="宋体" w:cs="Times New Roman"/>
          <w:u w:val="single"/>
        </w:rPr>
      </w:pPr>
      <w:r>
        <w:rPr>
          <w:rFonts w:hint="eastAsia" w:ascii="宋体" w:hAnsi="宋体" w:cs="宋体"/>
        </w:rPr>
        <w:t>法定代表人或其委托代理人</w:t>
      </w:r>
      <w:r>
        <w:rPr>
          <w:rFonts w:ascii="宋体" w:hAnsi="宋体" w:cs="宋体"/>
        </w:rPr>
        <w:t>(</w:t>
      </w:r>
      <w:r>
        <w:rPr>
          <w:rFonts w:hint="eastAsia" w:ascii="宋体" w:hAnsi="宋体" w:cs="宋体"/>
        </w:rPr>
        <w:t>签字</w:t>
      </w:r>
      <w:r>
        <w:rPr>
          <w:rFonts w:ascii="宋体" w:hAnsi="宋体" w:cs="宋体"/>
        </w:rPr>
        <w:t>)</w:t>
      </w:r>
      <w:r>
        <w:rPr>
          <w:rFonts w:hint="eastAsia" w:ascii="宋体" w:hAnsi="宋体" w:cs="宋体"/>
        </w:rPr>
        <w:t>：</w:t>
      </w:r>
      <w:r>
        <w:rPr>
          <w:rFonts w:ascii="宋体" w:hAnsi="宋体" w:cs="宋体"/>
        </w:rPr>
        <w:t>_</w:t>
      </w:r>
      <w:r>
        <w:rPr>
          <w:rFonts w:hint="eastAsia" w:ascii="宋体" w:hAnsi="宋体" w:cs="宋体"/>
          <w:u w:val="single"/>
        </w:rPr>
        <w:t xml:space="preserve">               </w:t>
      </w:r>
    </w:p>
    <w:p>
      <w:pPr>
        <w:spacing w:line="360" w:lineRule="exact"/>
        <w:rPr>
          <w:rFonts w:ascii="宋体" w:cs="Times New Roman"/>
        </w:rPr>
      </w:pPr>
      <w:r>
        <w:rPr>
          <w:rFonts w:hint="eastAsia" w:ascii="宋体" w:hAnsi="宋体" w:cs="宋体"/>
        </w:rPr>
        <w:t>日期：</w:t>
      </w:r>
      <w:r>
        <w:rPr>
          <w:rFonts w:hint="eastAsia" w:ascii="宋体" w:hAnsi="宋体" w:cs="宋体"/>
          <w:u w:val="single"/>
        </w:rPr>
        <w:t xml:space="preserve">      </w:t>
      </w:r>
      <w:r>
        <w:rPr>
          <w:rFonts w:ascii="宋体" w:hAnsi="宋体" w:cs="宋体"/>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ascii="宋体" w:hAnsi="宋体" w:cs="宋体"/>
          <w:u w:val="single"/>
        </w:rPr>
        <w:t xml:space="preserve"> </w:t>
      </w:r>
      <w:r>
        <w:rPr>
          <w:rFonts w:hint="eastAsia" w:ascii="宋体" w:hAnsi="宋体" w:cs="宋体"/>
          <w:u w:val="single"/>
        </w:rPr>
        <w:t xml:space="preserve">  </w:t>
      </w:r>
      <w:r>
        <w:rPr>
          <w:rFonts w:ascii="宋体" w:hAnsi="宋体" w:cs="宋体"/>
          <w:u w:val="single"/>
        </w:rPr>
        <w:t xml:space="preserve"> </w:t>
      </w:r>
      <w:r>
        <w:rPr>
          <w:rFonts w:hint="eastAsia" w:ascii="宋体" w:hAnsi="宋体" w:cs="宋体"/>
        </w:rPr>
        <w:t>日</w:t>
      </w:r>
    </w:p>
    <w:p>
      <w:pPr>
        <w:adjustRightInd w:val="0"/>
        <w:snapToGrid w:val="0"/>
        <w:spacing w:line="360" w:lineRule="auto"/>
        <w:rPr>
          <w:rFonts w:ascii="宋体" w:cs="Times New Roman"/>
        </w:rPr>
      </w:pPr>
    </w:p>
    <w:p>
      <w:pPr>
        <w:adjustRightInd w:val="0"/>
        <w:snapToGrid w:val="0"/>
        <w:spacing w:line="360" w:lineRule="auto"/>
        <w:rPr>
          <w:rFonts w:ascii="宋体" w:cs="Times New Roman"/>
        </w:rPr>
      </w:pPr>
    </w:p>
    <w:p>
      <w:pPr>
        <w:pStyle w:val="4"/>
        <w:adjustRightInd w:val="0"/>
        <w:snapToGrid w:val="0"/>
        <w:spacing w:line="360" w:lineRule="auto"/>
        <w:outlineLvl w:val="0"/>
        <w:rPr>
          <w:rFonts w:ascii="仿宋_GB2312" w:hAnsi="宋体" w:eastAsia="仿宋_GB2312" w:cs="Times New Roman"/>
          <w:sz w:val="21"/>
          <w:szCs w:val="21"/>
        </w:rPr>
      </w:pPr>
      <w:r>
        <w:rPr>
          <w:rFonts w:hint="eastAsia" w:ascii="仿宋_GB2312" w:hAnsi="宋体" w:eastAsia="仿宋_GB2312" w:cs="仿宋_GB2312"/>
          <w:sz w:val="21"/>
          <w:szCs w:val="21"/>
        </w:rPr>
        <w:t>说明：</w:t>
      </w:r>
      <w:r>
        <w:rPr>
          <w:rFonts w:ascii="仿宋_GB2312" w:hAnsi="宋体" w:eastAsia="仿宋_GB2312" w:cs="仿宋_GB2312"/>
          <w:sz w:val="21"/>
          <w:szCs w:val="21"/>
        </w:rPr>
        <w:t>1</w:t>
      </w:r>
      <w:r>
        <w:rPr>
          <w:rFonts w:hint="eastAsia" w:ascii="仿宋_GB2312" w:hAnsi="宋体" w:eastAsia="仿宋_GB2312" w:cs="仿宋_GB2312"/>
          <w:sz w:val="21"/>
          <w:szCs w:val="21"/>
        </w:rPr>
        <w:t>、货物类项目按本表填写。货物的主要技术参数和技术指标可另页描述。</w:t>
      </w:r>
    </w:p>
    <w:p>
      <w:pPr>
        <w:adjustRightInd w:val="0"/>
        <w:snapToGrid w:val="0"/>
        <w:spacing w:line="360" w:lineRule="auto"/>
        <w:ind w:firstLine="525" w:firstLineChars="250"/>
        <w:rPr>
          <w:rFonts w:ascii="仿宋_GB2312" w:hAnsi="宋体" w:eastAsia="仿宋_GB2312" w:cs="Times New Roman"/>
        </w:rPr>
      </w:pPr>
      <w:r>
        <w:rPr>
          <w:rFonts w:ascii="仿宋_GB2312" w:hAnsi="宋体" w:eastAsia="仿宋_GB2312" w:cs="仿宋_GB2312"/>
        </w:rPr>
        <w:t xml:space="preserve"> 2</w:t>
      </w:r>
      <w:r>
        <w:rPr>
          <w:rFonts w:hint="eastAsia" w:ascii="仿宋_GB2312" w:hAnsi="宋体" w:eastAsia="仿宋_GB2312" w:cs="仿宋_GB2312"/>
        </w:rPr>
        <w:t>、工程类项目供应商应提交完整的施工组织设计。施工组织设计应包括：</w:t>
      </w:r>
      <w:r>
        <w:rPr>
          <w:rFonts w:ascii="仿宋_GB2312" w:hAnsi="宋体" w:eastAsia="仿宋_GB2312" w:cs="仿宋_GB2312"/>
        </w:rPr>
        <w:t>(1)</w:t>
      </w:r>
      <w:r>
        <w:rPr>
          <w:rFonts w:hint="eastAsia" w:ascii="仿宋_GB2312" w:hAnsi="宋体" w:eastAsia="仿宋_GB2312" w:cs="仿宋_GB2312"/>
        </w:rPr>
        <w:t>施工方案；</w:t>
      </w:r>
      <w:r>
        <w:rPr>
          <w:rFonts w:ascii="仿宋_GB2312" w:hAnsi="宋体" w:eastAsia="仿宋_GB2312" w:cs="仿宋_GB2312"/>
        </w:rPr>
        <w:t>(2)</w:t>
      </w:r>
      <w:r>
        <w:rPr>
          <w:rFonts w:hint="eastAsia" w:ascii="仿宋_GB2312" w:hAnsi="宋体" w:eastAsia="仿宋_GB2312" w:cs="仿宋_GB2312"/>
        </w:rPr>
        <w:t>施工进度计划及保证措施；</w:t>
      </w:r>
      <w:r>
        <w:rPr>
          <w:rFonts w:ascii="仿宋_GB2312" w:hAnsi="宋体" w:eastAsia="仿宋_GB2312" w:cs="仿宋_GB2312"/>
        </w:rPr>
        <w:t>(3)</w:t>
      </w:r>
      <w:r>
        <w:rPr>
          <w:rFonts w:hint="eastAsia" w:ascii="仿宋_GB2312" w:hAnsi="宋体" w:eastAsia="仿宋_GB2312" w:cs="仿宋_GB2312"/>
        </w:rPr>
        <w:t>保证质量措施；</w:t>
      </w:r>
      <w:r>
        <w:rPr>
          <w:rFonts w:ascii="仿宋_GB2312" w:hAnsi="宋体" w:eastAsia="仿宋_GB2312" w:cs="仿宋_GB2312"/>
        </w:rPr>
        <w:t>(4)</w:t>
      </w:r>
      <w:r>
        <w:rPr>
          <w:rFonts w:hint="eastAsia" w:ascii="仿宋_GB2312" w:hAnsi="宋体" w:eastAsia="仿宋_GB2312" w:cs="仿宋_GB2312"/>
        </w:rPr>
        <w:t>保证安全措施；</w:t>
      </w:r>
      <w:r>
        <w:rPr>
          <w:rFonts w:ascii="仿宋_GB2312" w:hAnsi="宋体" w:eastAsia="仿宋_GB2312" w:cs="仿宋_GB2312"/>
        </w:rPr>
        <w:t>(5)</w:t>
      </w:r>
      <w:r>
        <w:rPr>
          <w:rFonts w:hint="eastAsia" w:ascii="仿宋_GB2312" w:hAnsi="宋体" w:eastAsia="仿宋_GB2312" w:cs="仿宋_GB2312"/>
        </w:rPr>
        <w:t>文明施工现场措施；</w:t>
      </w:r>
      <w:r>
        <w:rPr>
          <w:rFonts w:ascii="仿宋_GB2312" w:hAnsi="宋体" w:eastAsia="仿宋_GB2312" w:cs="仿宋_GB2312"/>
        </w:rPr>
        <w:t>(6)</w:t>
      </w:r>
      <w:r>
        <w:rPr>
          <w:rFonts w:hint="eastAsia" w:ascii="仿宋_GB2312" w:hAnsi="宋体" w:eastAsia="仿宋_GB2312" w:cs="仿宋_GB2312"/>
        </w:rPr>
        <w:t>劳动力安排计划；</w:t>
      </w:r>
      <w:r>
        <w:rPr>
          <w:rFonts w:ascii="仿宋_GB2312" w:hAnsi="宋体" w:eastAsia="仿宋_GB2312" w:cs="仿宋_GB2312"/>
        </w:rPr>
        <w:t>(7)</w:t>
      </w:r>
      <w:r>
        <w:rPr>
          <w:rFonts w:hint="eastAsia" w:ascii="仿宋_GB2312" w:hAnsi="宋体" w:eastAsia="仿宋_GB2312" w:cs="仿宋_GB2312"/>
        </w:rPr>
        <w:t>主要机具使用计划；</w:t>
      </w:r>
      <w:r>
        <w:rPr>
          <w:rFonts w:ascii="仿宋_GB2312" w:hAnsi="宋体" w:eastAsia="仿宋_GB2312" w:cs="仿宋_GB2312"/>
        </w:rPr>
        <w:t>(8)</w:t>
      </w:r>
      <w:r>
        <w:rPr>
          <w:rFonts w:hint="eastAsia" w:ascii="仿宋_GB2312" w:hAnsi="宋体" w:eastAsia="仿宋_GB2312" w:cs="仿宋_GB2312"/>
        </w:rPr>
        <w:t>合理化建议。</w:t>
      </w:r>
    </w:p>
    <w:p>
      <w:pPr>
        <w:adjustRightInd w:val="0"/>
        <w:snapToGrid w:val="0"/>
        <w:spacing w:line="360" w:lineRule="auto"/>
        <w:ind w:firstLine="630" w:firstLineChars="300"/>
        <w:rPr>
          <w:rFonts w:ascii="仿宋_GB2312" w:hAnsi="宋体" w:eastAsia="仿宋_GB2312" w:cs="Times New Roman"/>
        </w:rPr>
      </w:pPr>
      <w:r>
        <w:rPr>
          <w:rFonts w:ascii="仿宋_GB2312" w:hAnsi="宋体" w:eastAsia="仿宋_GB2312" w:cs="仿宋_GB2312"/>
        </w:rPr>
        <w:t>3</w:t>
      </w:r>
      <w:r>
        <w:rPr>
          <w:rFonts w:hint="eastAsia" w:ascii="仿宋_GB2312" w:hAnsi="宋体" w:eastAsia="仿宋_GB2312" w:cs="仿宋_GB2312"/>
        </w:rPr>
        <w:t>、服务类项目供应商应根据第四章规定编写服务方案或服务大纲。服务方案或服务大纲应包括：</w:t>
      </w:r>
      <w:r>
        <w:rPr>
          <w:rFonts w:ascii="仿宋_GB2312" w:hAnsi="宋体" w:eastAsia="仿宋_GB2312" w:cs="仿宋_GB2312"/>
        </w:rPr>
        <w:t>(1)</w:t>
      </w:r>
      <w:r>
        <w:rPr>
          <w:rFonts w:hint="eastAsia" w:ascii="仿宋_GB2312" w:hAnsi="宋体" w:eastAsia="仿宋_GB2312" w:cs="仿宋_GB2312"/>
        </w:rPr>
        <w:t>服务目标、范围和任务；</w:t>
      </w:r>
      <w:r>
        <w:rPr>
          <w:rFonts w:ascii="仿宋_GB2312" w:hAnsi="宋体" w:eastAsia="仿宋_GB2312" w:cs="仿宋_GB2312"/>
        </w:rPr>
        <w:t>(2)</w:t>
      </w:r>
      <w:r>
        <w:rPr>
          <w:rFonts w:hint="eastAsia" w:ascii="仿宋_GB2312" w:hAnsi="宋体" w:eastAsia="仿宋_GB2312" w:cs="仿宋_GB2312"/>
        </w:rPr>
        <w:t>服务方案；</w:t>
      </w:r>
      <w:r>
        <w:rPr>
          <w:rFonts w:ascii="仿宋_GB2312" w:hAnsi="宋体" w:eastAsia="仿宋_GB2312" w:cs="仿宋_GB2312"/>
        </w:rPr>
        <w:t>(3)</w:t>
      </w:r>
      <w:r>
        <w:rPr>
          <w:rFonts w:hint="eastAsia" w:ascii="仿宋_GB2312" w:hAnsi="宋体" w:eastAsia="仿宋_GB2312" w:cs="仿宋_GB2312"/>
        </w:rPr>
        <w:t>服务团队组织安排计划；</w:t>
      </w:r>
      <w:r>
        <w:rPr>
          <w:rFonts w:ascii="仿宋_GB2312" w:hAnsi="宋体" w:eastAsia="仿宋_GB2312" w:cs="仿宋_GB2312"/>
        </w:rPr>
        <w:t>(4)</w:t>
      </w:r>
      <w:r>
        <w:rPr>
          <w:rFonts w:hint="eastAsia" w:ascii="仿宋_GB2312" w:hAnsi="宋体" w:eastAsia="仿宋_GB2312" w:cs="仿宋_GB2312"/>
        </w:rPr>
        <w:t>工作流程；</w:t>
      </w:r>
      <w:r>
        <w:rPr>
          <w:rFonts w:ascii="仿宋_GB2312" w:hAnsi="宋体" w:eastAsia="仿宋_GB2312" w:cs="仿宋_GB2312"/>
        </w:rPr>
        <w:t>(5)</w:t>
      </w:r>
      <w:r>
        <w:rPr>
          <w:rFonts w:hint="eastAsia" w:ascii="仿宋_GB2312" w:hAnsi="宋体" w:eastAsia="仿宋_GB2312" w:cs="仿宋_GB2312"/>
        </w:rPr>
        <w:t>进度计划及保证措施；</w:t>
      </w:r>
      <w:r>
        <w:rPr>
          <w:rFonts w:ascii="仿宋_GB2312" w:hAnsi="宋体" w:eastAsia="仿宋_GB2312" w:cs="仿宋_GB2312"/>
        </w:rPr>
        <w:t>(6)</w:t>
      </w:r>
      <w:r>
        <w:rPr>
          <w:rFonts w:hint="eastAsia" w:ascii="仿宋_GB2312" w:hAnsi="宋体" w:eastAsia="仿宋_GB2312" w:cs="仿宋_GB2312"/>
        </w:rPr>
        <w:t>质量保证措施；</w:t>
      </w:r>
      <w:r>
        <w:rPr>
          <w:rFonts w:ascii="仿宋_GB2312" w:hAnsi="宋体" w:eastAsia="仿宋_GB2312" w:cs="仿宋_GB2312"/>
        </w:rPr>
        <w:t>(7)</w:t>
      </w:r>
      <w:r>
        <w:rPr>
          <w:rFonts w:hint="eastAsia" w:ascii="仿宋_GB2312" w:hAnsi="宋体" w:eastAsia="仿宋_GB2312" w:cs="仿宋_GB2312"/>
        </w:rPr>
        <w:t>合理化建议；</w:t>
      </w:r>
      <w:r>
        <w:rPr>
          <w:rFonts w:ascii="仿宋_GB2312" w:hAnsi="宋体" w:eastAsia="仿宋_GB2312" w:cs="仿宋_GB2312"/>
        </w:rPr>
        <w:t>(8)</w:t>
      </w:r>
      <w:r>
        <w:rPr>
          <w:rFonts w:hint="eastAsia" w:ascii="仿宋_GB2312" w:hAnsi="宋体" w:eastAsia="仿宋_GB2312" w:cs="仿宋_GB2312"/>
        </w:rPr>
        <w:t>其他。</w:t>
      </w:r>
    </w:p>
    <w:p>
      <w:pPr>
        <w:adjustRightInd w:val="0"/>
        <w:snapToGrid w:val="0"/>
        <w:rPr>
          <w:rFonts w:ascii="黑体" w:eastAsia="黑体" w:cs="黑体"/>
          <w:sz w:val="32"/>
          <w:szCs w:val="32"/>
        </w:rPr>
      </w:pPr>
      <w:r>
        <w:rPr>
          <w:rFonts w:ascii="宋体" w:cs="Times New Roman"/>
        </w:rPr>
        <w:br w:type="page"/>
      </w:r>
    </w:p>
    <w:p>
      <w:pPr>
        <w:adjustRightInd w:val="0"/>
        <w:snapToGrid w:val="0"/>
        <w:spacing w:line="360" w:lineRule="auto"/>
        <w:rPr>
          <w:rFonts w:ascii="宋体" w:cs="Times New Roman"/>
        </w:rPr>
      </w:pPr>
    </w:p>
    <w:p>
      <w:pPr>
        <w:adjustRightInd w:val="0"/>
        <w:snapToGrid w:val="0"/>
        <w:spacing w:line="360" w:lineRule="auto"/>
        <w:jc w:val="center"/>
        <w:outlineLvl w:val="0"/>
        <w:rPr>
          <w:rFonts w:ascii="黑体" w:hAnsi="宋体" w:eastAsia="黑体" w:cs="Times New Roman"/>
          <w:b/>
          <w:bCs/>
          <w:sz w:val="32"/>
          <w:szCs w:val="32"/>
        </w:rPr>
      </w:pPr>
      <w:r>
        <w:rPr>
          <w:rFonts w:hint="eastAsia" w:ascii="黑体" w:eastAsia="黑体" w:cs="黑体"/>
          <w:b/>
          <w:bCs/>
          <w:sz w:val="32"/>
          <w:szCs w:val="32"/>
        </w:rPr>
        <w:t>五、</w:t>
      </w:r>
      <w:r>
        <w:rPr>
          <w:rFonts w:hint="eastAsia" w:ascii="黑体" w:hAnsi="宋体" w:eastAsia="黑体" w:cs="黑体"/>
          <w:b/>
          <w:bCs/>
          <w:sz w:val="32"/>
          <w:szCs w:val="32"/>
        </w:rPr>
        <w:t>技术</w:t>
      </w:r>
      <w:r>
        <w:rPr>
          <w:rFonts w:ascii="黑体" w:hAnsi="宋体" w:eastAsia="黑体" w:cs="黑体"/>
          <w:b/>
          <w:bCs/>
          <w:sz w:val="32"/>
          <w:szCs w:val="32"/>
        </w:rPr>
        <w:t>/</w:t>
      </w:r>
      <w:r>
        <w:rPr>
          <w:rFonts w:hint="eastAsia" w:ascii="黑体" w:eastAsia="黑体" w:cs="黑体"/>
          <w:b/>
          <w:bCs/>
          <w:sz w:val="32"/>
          <w:szCs w:val="32"/>
        </w:rPr>
        <w:t>商务</w:t>
      </w:r>
      <w:r>
        <w:rPr>
          <w:rFonts w:hint="eastAsia" w:ascii="黑体" w:hAnsi="宋体" w:eastAsia="黑体" w:cs="黑体"/>
          <w:b/>
          <w:bCs/>
          <w:sz w:val="32"/>
          <w:szCs w:val="32"/>
        </w:rPr>
        <w:t>响应与偏离表</w:t>
      </w:r>
    </w:p>
    <w:p>
      <w:pPr>
        <w:adjustRightInd w:val="0"/>
        <w:snapToGrid w:val="0"/>
        <w:ind w:left="-88" w:leftChars="-42" w:firstLine="315" w:firstLineChars="150"/>
        <w:rPr>
          <w:rFonts w:ascii="宋体" w:cs="Times New Roman"/>
          <w:u w:val="single"/>
        </w:rPr>
      </w:pPr>
    </w:p>
    <w:tbl>
      <w:tblPr>
        <w:tblStyle w:val="13"/>
        <w:tblW w:w="9503" w:type="dxa"/>
        <w:jc w:val="center"/>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28" w:type="dxa"/>
          <w:bottom w:w="0" w:type="dxa"/>
          <w:right w:w="28" w:type="dxa"/>
        </w:tblCellMar>
      </w:tblPr>
      <w:tblGrid>
        <w:gridCol w:w="634"/>
        <w:gridCol w:w="1685"/>
        <w:gridCol w:w="1948"/>
        <w:gridCol w:w="2600"/>
        <w:gridCol w:w="1517"/>
        <w:gridCol w:w="1119"/>
      </w:tblGrid>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28" w:type="dxa"/>
            <w:bottom w:w="0" w:type="dxa"/>
            <w:right w:w="28" w:type="dxa"/>
          </w:tblCellMar>
        </w:tblPrEx>
        <w:trPr>
          <w:trHeight w:val="504" w:hRule="atLeast"/>
          <w:jc w:val="center"/>
        </w:trPr>
        <w:tc>
          <w:tcPr>
            <w:tcW w:w="634" w:type="dxa"/>
            <w:tcBorders>
              <w:top w:val="double" w:color="auto" w:sz="4" w:space="0"/>
            </w:tcBorders>
            <w:vAlign w:val="center"/>
          </w:tcPr>
          <w:p>
            <w:pPr>
              <w:adjustRightInd w:val="0"/>
              <w:snapToGrid w:val="0"/>
              <w:ind w:left="-88" w:leftChars="-42"/>
              <w:jc w:val="center"/>
              <w:rPr>
                <w:rFonts w:ascii="宋体" w:cs="Times New Roman"/>
              </w:rPr>
            </w:pPr>
            <w:r>
              <w:rPr>
                <w:rFonts w:hint="eastAsia" w:ascii="宋体" w:hAnsi="宋体" w:cs="宋体"/>
              </w:rPr>
              <w:t>序号</w:t>
            </w:r>
          </w:p>
        </w:tc>
        <w:tc>
          <w:tcPr>
            <w:tcW w:w="1685" w:type="dxa"/>
            <w:tcBorders>
              <w:top w:val="double" w:color="auto" w:sz="4" w:space="0"/>
            </w:tcBorders>
            <w:vAlign w:val="center"/>
          </w:tcPr>
          <w:p>
            <w:pPr>
              <w:adjustRightInd w:val="0"/>
              <w:snapToGrid w:val="0"/>
              <w:ind w:left="-88" w:leftChars="-42"/>
              <w:jc w:val="center"/>
              <w:rPr>
                <w:rFonts w:ascii="宋体" w:cs="Times New Roman"/>
              </w:rPr>
            </w:pPr>
            <w:r>
              <w:rPr>
                <w:rFonts w:hint="eastAsia" w:ascii="宋体" w:hAnsi="宋体" w:cs="宋体"/>
              </w:rPr>
              <w:t>谈判文件条目号</w:t>
            </w:r>
          </w:p>
        </w:tc>
        <w:tc>
          <w:tcPr>
            <w:tcW w:w="1948" w:type="dxa"/>
            <w:tcBorders>
              <w:top w:val="double" w:color="auto" w:sz="4" w:space="0"/>
            </w:tcBorders>
            <w:vAlign w:val="center"/>
          </w:tcPr>
          <w:p>
            <w:pPr>
              <w:adjustRightInd w:val="0"/>
              <w:snapToGrid w:val="0"/>
              <w:ind w:left="-88" w:leftChars="-42"/>
              <w:jc w:val="center"/>
              <w:rPr>
                <w:rFonts w:ascii="宋体" w:cs="Times New Roman"/>
              </w:rPr>
            </w:pPr>
            <w:r>
              <w:rPr>
                <w:rFonts w:hint="eastAsia" w:ascii="宋体" w:hAnsi="宋体" w:cs="宋体"/>
              </w:rPr>
              <w:t>采购规格</w:t>
            </w:r>
            <w:r>
              <w:rPr>
                <w:rFonts w:ascii="宋体" w:hAnsi="宋体" w:cs="宋体"/>
              </w:rPr>
              <w:t>/</w:t>
            </w:r>
            <w:r>
              <w:rPr>
                <w:rFonts w:hint="eastAsia" w:ascii="宋体" w:hAnsi="宋体" w:cs="宋体"/>
              </w:rPr>
              <w:t>商务条款</w:t>
            </w:r>
          </w:p>
        </w:tc>
        <w:tc>
          <w:tcPr>
            <w:tcW w:w="2600" w:type="dxa"/>
            <w:tcBorders>
              <w:top w:val="double" w:color="auto" w:sz="4" w:space="0"/>
            </w:tcBorders>
            <w:vAlign w:val="center"/>
          </w:tcPr>
          <w:p>
            <w:pPr>
              <w:adjustRightInd w:val="0"/>
              <w:snapToGrid w:val="0"/>
              <w:ind w:left="-88" w:leftChars="-42"/>
              <w:jc w:val="center"/>
              <w:rPr>
                <w:rFonts w:ascii="宋体" w:cs="Times New Roman"/>
              </w:rPr>
            </w:pPr>
            <w:r>
              <w:rPr>
                <w:rFonts w:hint="eastAsia" w:ascii="宋体" w:hAnsi="宋体" w:cs="宋体"/>
              </w:rPr>
              <w:t>响应文件的规格</w:t>
            </w:r>
            <w:r>
              <w:rPr>
                <w:rFonts w:ascii="宋体" w:hAnsi="宋体" w:cs="宋体"/>
              </w:rPr>
              <w:t>/</w:t>
            </w:r>
            <w:r>
              <w:rPr>
                <w:rFonts w:hint="eastAsia" w:ascii="宋体" w:hAnsi="宋体" w:cs="宋体"/>
              </w:rPr>
              <w:t>商务条款</w:t>
            </w:r>
          </w:p>
        </w:tc>
        <w:tc>
          <w:tcPr>
            <w:tcW w:w="1517" w:type="dxa"/>
            <w:tcBorders>
              <w:top w:val="double" w:color="auto" w:sz="4" w:space="0"/>
            </w:tcBorders>
            <w:vAlign w:val="center"/>
          </w:tcPr>
          <w:p>
            <w:pPr>
              <w:adjustRightInd w:val="0"/>
              <w:snapToGrid w:val="0"/>
              <w:ind w:left="-88" w:leftChars="-42"/>
              <w:jc w:val="center"/>
              <w:rPr>
                <w:rFonts w:ascii="宋体" w:cs="Times New Roman"/>
              </w:rPr>
            </w:pPr>
            <w:r>
              <w:rPr>
                <w:rFonts w:hint="eastAsia" w:ascii="宋体" w:hAnsi="宋体" w:cs="宋体"/>
              </w:rPr>
              <w:t>响应与偏离</w:t>
            </w:r>
          </w:p>
        </w:tc>
        <w:tc>
          <w:tcPr>
            <w:tcW w:w="1119" w:type="dxa"/>
            <w:tcBorders>
              <w:top w:val="double" w:color="auto" w:sz="4" w:space="0"/>
            </w:tcBorders>
            <w:vAlign w:val="center"/>
          </w:tcPr>
          <w:p>
            <w:pPr>
              <w:adjustRightInd w:val="0"/>
              <w:snapToGrid w:val="0"/>
              <w:ind w:left="-88" w:leftChars="-42"/>
              <w:jc w:val="center"/>
              <w:rPr>
                <w:rFonts w:ascii="宋体" w:cs="Times New Roman"/>
              </w:rPr>
            </w:pPr>
            <w:r>
              <w:rPr>
                <w:rFonts w:hint="eastAsia" w:ascii="宋体" w:hAnsi="宋体" w:cs="宋体"/>
              </w:rPr>
              <w:t>说明</w:t>
            </w: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28" w:type="dxa"/>
            <w:bottom w:w="0" w:type="dxa"/>
            <w:right w:w="28" w:type="dxa"/>
          </w:tblCellMar>
        </w:tblPrEx>
        <w:trPr>
          <w:trHeight w:val="505" w:hRule="atLeast"/>
          <w:jc w:val="center"/>
        </w:trPr>
        <w:tc>
          <w:tcPr>
            <w:tcW w:w="634" w:type="dxa"/>
          </w:tcPr>
          <w:p>
            <w:pPr>
              <w:adjustRightInd w:val="0"/>
              <w:snapToGrid w:val="0"/>
              <w:ind w:left="-88" w:leftChars="-42"/>
              <w:jc w:val="center"/>
              <w:rPr>
                <w:rFonts w:ascii="宋体" w:cs="Times New Roman"/>
              </w:rPr>
            </w:pPr>
          </w:p>
        </w:tc>
        <w:tc>
          <w:tcPr>
            <w:tcW w:w="1685" w:type="dxa"/>
            <w:vAlign w:val="center"/>
          </w:tcPr>
          <w:p>
            <w:pPr>
              <w:adjustRightInd w:val="0"/>
              <w:snapToGrid w:val="0"/>
              <w:ind w:left="-88" w:leftChars="-42"/>
              <w:jc w:val="center"/>
              <w:rPr>
                <w:rFonts w:ascii="宋体" w:cs="Times New Roman"/>
              </w:rPr>
            </w:pPr>
          </w:p>
        </w:tc>
        <w:tc>
          <w:tcPr>
            <w:tcW w:w="1948" w:type="dxa"/>
            <w:vAlign w:val="center"/>
          </w:tcPr>
          <w:p>
            <w:pPr>
              <w:adjustRightInd w:val="0"/>
              <w:snapToGrid w:val="0"/>
              <w:ind w:left="-88" w:leftChars="-42"/>
              <w:jc w:val="center"/>
              <w:rPr>
                <w:rFonts w:ascii="宋体" w:cs="Times New Roman"/>
              </w:rPr>
            </w:pPr>
          </w:p>
        </w:tc>
        <w:tc>
          <w:tcPr>
            <w:tcW w:w="2600" w:type="dxa"/>
            <w:vAlign w:val="center"/>
          </w:tcPr>
          <w:p>
            <w:pPr>
              <w:adjustRightInd w:val="0"/>
              <w:snapToGrid w:val="0"/>
              <w:ind w:left="-88" w:leftChars="-42"/>
              <w:jc w:val="center"/>
              <w:rPr>
                <w:rFonts w:ascii="宋体" w:cs="Times New Roman"/>
              </w:rPr>
            </w:pPr>
          </w:p>
        </w:tc>
        <w:tc>
          <w:tcPr>
            <w:tcW w:w="1517" w:type="dxa"/>
            <w:vAlign w:val="center"/>
          </w:tcPr>
          <w:p>
            <w:pPr>
              <w:adjustRightInd w:val="0"/>
              <w:snapToGrid w:val="0"/>
              <w:ind w:left="-88" w:leftChars="-42"/>
              <w:jc w:val="center"/>
              <w:rPr>
                <w:rFonts w:ascii="宋体" w:cs="Times New Roman"/>
              </w:rPr>
            </w:pPr>
          </w:p>
        </w:tc>
        <w:tc>
          <w:tcPr>
            <w:tcW w:w="1119" w:type="dxa"/>
            <w:vAlign w:val="center"/>
          </w:tcPr>
          <w:p>
            <w:pPr>
              <w:adjustRightInd w:val="0"/>
              <w:snapToGrid w:val="0"/>
              <w:ind w:left="-88" w:leftChars="-42"/>
              <w:jc w:val="center"/>
              <w:rPr>
                <w:rFonts w:ascii="宋体" w:cs="Times New Roman"/>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28" w:type="dxa"/>
            <w:bottom w:w="0" w:type="dxa"/>
            <w:right w:w="28" w:type="dxa"/>
          </w:tblCellMar>
        </w:tblPrEx>
        <w:trPr>
          <w:trHeight w:val="505" w:hRule="atLeast"/>
          <w:jc w:val="center"/>
        </w:trPr>
        <w:tc>
          <w:tcPr>
            <w:tcW w:w="634" w:type="dxa"/>
          </w:tcPr>
          <w:p>
            <w:pPr>
              <w:adjustRightInd w:val="0"/>
              <w:snapToGrid w:val="0"/>
              <w:ind w:left="-88" w:leftChars="-42"/>
              <w:jc w:val="center"/>
              <w:rPr>
                <w:rFonts w:ascii="宋体" w:cs="Times New Roman"/>
              </w:rPr>
            </w:pPr>
          </w:p>
        </w:tc>
        <w:tc>
          <w:tcPr>
            <w:tcW w:w="1685" w:type="dxa"/>
            <w:vAlign w:val="center"/>
          </w:tcPr>
          <w:p>
            <w:pPr>
              <w:adjustRightInd w:val="0"/>
              <w:snapToGrid w:val="0"/>
              <w:ind w:left="-88" w:leftChars="-42"/>
              <w:jc w:val="center"/>
              <w:rPr>
                <w:rFonts w:ascii="宋体" w:cs="Times New Roman"/>
              </w:rPr>
            </w:pPr>
          </w:p>
        </w:tc>
        <w:tc>
          <w:tcPr>
            <w:tcW w:w="1948" w:type="dxa"/>
            <w:vAlign w:val="center"/>
          </w:tcPr>
          <w:p>
            <w:pPr>
              <w:adjustRightInd w:val="0"/>
              <w:snapToGrid w:val="0"/>
              <w:ind w:left="-88" w:leftChars="-42"/>
              <w:jc w:val="center"/>
              <w:rPr>
                <w:rFonts w:ascii="宋体" w:cs="Times New Roman"/>
              </w:rPr>
            </w:pPr>
          </w:p>
        </w:tc>
        <w:tc>
          <w:tcPr>
            <w:tcW w:w="2600" w:type="dxa"/>
            <w:vAlign w:val="center"/>
          </w:tcPr>
          <w:p>
            <w:pPr>
              <w:adjustRightInd w:val="0"/>
              <w:snapToGrid w:val="0"/>
              <w:ind w:left="-88" w:leftChars="-42"/>
              <w:jc w:val="center"/>
              <w:rPr>
                <w:rFonts w:ascii="宋体" w:cs="Times New Roman"/>
              </w:rPr>
            </w:pPr>
          </w:p>
        </w:tc>
        <w:tc>
          <w:tcPr>
            <w:tcW w:w="1517" w:type="dxa"/>
            <w:vAlign w:val="center"/>
          </w:tcPr>
          <w:p>
            <w:pPr>
              <w:adjustRightInd w:val="0"/>
              <w:snapToGrid w:val="0"/>
              <w:ind w:left="-88" w:leftChars="-42"/>
              <w:jc w:val="center"/>
              <w:rPr>
                <w:rFonts w:ascii="宋体" w:cs="Times New Roman"/>
              </w:rPr>
            </w:pPr>
          </w:p>
        </w:tc>
        <w:tc>
          <w:tcPr>
            <w:tcW w:w="1119" w:type="dxa"/>
            <w:vAlign w:val="center"/>
          </w:tcPr>
          <w:p>
            <w:pPr>
              <w:adjustRightInd w:val="0"/>
              <w:snapToGrid w:val="0"/>
              <w:ind w:left="-88" w:leftChars="-42"/>
              <w:jc w:val="center"/>
              <w:rPr>
                <w:rFonts w:ascii="宋体" w:cs="Times New Roman"/>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28" w:type="dxa"/>
            <w:bottom w:w="0" w:type="dxa"/>
            <w:right w:w="28" w:type="dxa"/>
          </w:tblCellMar>
        </w:tblPrEx>
        <w:trPr>
          <w:trHeight w:val="505" w:hRule="atLeast"/>
          <w:jc w:val="center"/>
        </w:trPr>
        <w:tc>
          <w:tcPr>
            <w:tcW w:w="634" w:type="dxa"/>
          </w:tcPr>
          <w:p>
            <w:pPr>
              <w:adjustRightInd w:val="0"/>
              <w:snapToGrid w:val="0"/>
              <w:ind w:left="-88" w:leftChars="-42"/>
              <w:jc w:val="center"/>
              <w:rPr>
                <w:rFonts w:ascii="宋体" w:cs="Times New Roman"/>
              </w:rPr>
            </w:pPr>
          </w:p>
        </w:tc>
        <w:tc>
          <w:tcPr>
            <w:tcW w:w="1685" w:type="dxa"/>
            <w:vAlign w:val="center"/>
          </w:tcPr>
          <w:p>
            <w:pPr>
              <w:adjustRightInd w:val="0"/>
              <w:snapToGrid w:val="0"/>
              <w:ind w:left="-88" w:leftChars="-42"/>
              <w:jc w:val="center"/>
              <w:rPr>
                <w:rFonts w:ascii="宋体" w:cs="Times New Roman"/>
              </w:rPr>
            </w:pPr>
          </w:p>
        </w:tc>
        <w:tc>
          <w:tcPr>
            <w:tcW w:w="1948" w:type="dxa"/>
            <w:vAlign w:val="center"/>
          </w:tcPr>
          <w:p>
            <w:pPr>
              <w:adjustRightInd w:val="0"/>
              <w:snapToGrid w:val="0"/>
              <w:ind w:left="-88" w:leftChars="-42"/>
              <w:jc w:val="center"/>
              <w:rPr>
                <w:rFonts w:ascii="宋体" w:cs="Times New Roman"/>
              </w:rPr>
            </w:pPr>
          </w:p>
        </w:tc>
        <w:tc>
          <w:tcPr>
            <w:tcW w:w="2600" w:type="dxa"/>
            <w:vAlign w:val="center"/>
          </w:tcPr>
          <w:p>
            <w:pPr>
              <w:adjustRightInd w:val="0"/>
              <w:snapToGrid w:val="0"/>
              <w:ind w:left="-88" w:leftChars="-42"/>
              <w:jc w:val="center"/>
              <w:rPr>
                <w:rFonts w:ascii="宋体" w:cs="Times New Roman"/>
              </w:rPr>
            </w:pPr>
          </w:p>
        </w:tc>
        <w:tc>
          <w:tcPr>
            <w:tcW w:w="1517" w:type="dxa"/>
            <w:vAlign w:val="center"/>
          </w:tcPr>
          <w:p>
            <w:pPr>
              <w:adjustRightInd w:val="0"/>
              <w:snapToGrid w:val="0"/>
              <w:ind w:left="-88" w:leftChars="-42"/>
              <w:jc w:val="center"/>
              <w:rPr>
                <w:rFonts w:ascii="宋体" w:cs="Times New Roman"/>
              </w:rPr>
            </w:pPr>
          </w:p>
        </w:tc>
        <w:tc>
          <w:tcPr>
            <w:tcW w:w="1119" w:type="dxa"/>
            <w:vAlign w:val="center"/>
          </w:tcPr>
          <w:p>
            <w:pPr>
              <w:adjustRightInd w:val="0"/>
              <w:snapToGrid w:val="0"/>
              <w:ind w:left="-88" w:leftChars="-42"/>
              <w:jc w:val="center"/>
              <w:rPr>
                <w:rFonts w:ascii="宋体" w:cs="Times New Roman"/>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28" w:type="dxa"/>
            <w:bottom w:w="0" w:type="dxa"/>
            <w:right w:w="28" w:type="dxa"/>
          </w:tblCellMar>
        </w:tblPrEx>
        <w:trPr>
          <w:trHeight w:val="505" w:hRule="atLeast"/>
          <w:jc w:val="center"/>
        </w:trPr>
        <w:tc>
          <w:tcPr>
            <w:tcW w:w="634" w:type="dxa"/>
          </w:tcPr>
          <w:p>
            <w:pPr>
              <w:adjustRightInd w:val="0"/>
              <w:snapToGrid w:val="0"/>
              <w:ind w:left="-88" w:leftChars="-42"/>
              <w:jc w:val="center"/>
              <w:rPr>
                <w:rFonts w:ascii="宋体" w:cs="Times New Roman"/>
              </w:rPr>
            </w:pPr>
          </w:p>
        </w:tc>
        <w:tc>
          <w:tcPr>
            <w:tcW w:w="1685" w:type="dxa"/>
            <w:vAlign w:val="center"/>
          </w:tcPr>
          <w:p>
            <w:pPr>
              <w:adjustRightInd w:val="0"/>
              <w:snapToGrid w:val="0"/>
              <w:ind w:left="-88" w:leftChars="-42"/>
              <w:jc w:val="center"/>
              <w:rPr>
                <w:rFonts w:ascii="宋体" w:cs="Times New Roman"/>
              </w:rPr>
            </w:pPr>
          </w:p>
        </w:tc>
        <w:tc>
          <w:tcPr>
            <w:tcW w:w="1948" w:type="dxa"/>
            <w:vAlign w:val="center"/>
          </w:tcPr>
          <w:p>
            <w:pPr>
              <w:adjustRightInd w:val="0"/>
              <w:snapToGrid w:val="0"/>
              <w:ind w:left="-88" w:leftChars="-42"/>
              <w:jc w:val="center"/>
              <w:rPr>
                <w:rFonts w:ascii="宋体" w:cs="Times New Roman"/>
              </w:rPr>
            </w:pPr>
          </w:p>
        </w:tc>
        <w:tc>
          <w:tcPr>
            <w:tcW w:w="2600" w:type="dxa"/>
            <w:vAlign w:val="center"/>
          </w:tcPr>
          <w:p>
            <w:pPr>
              <w:adjustRightInd w:val="0"/>
              <w:snapToGrid w:val="0"/>
              <w:ind w:left="-88" w:leftChars="-42"/>
              <w:jc w:val="center"/>
              <w:rPr>
                <w:rFonts w:ascii="宋体" w:cs="Times New Roman"/>
              </w:rPr>
            </w:pPr>
          </w:p>
        </w:tc>
        <w:tc>
          <w:tcPr>
            <w:tcW w:w="1517" w:type="dxa"/>
            <w:vAlign w:val="center"/>
          </w:tcPr>
          <w:p>
            <w:pPr>
              <w:adjustRightInd w:val="0"/>
              <w:snapToGrid w:val="0"/>
              <w:ind w:left="-88" w:leftChars="-42"/>
              <w:jc w:val="center"/>
              <w:rPr>
                <w:rFonts w:ascii="宋体" w:cs="Times New Roman"/>
              </w:rPr>
            </w:pPr>
          </w:p>
        </w:tc>
        <w:tc>
          <w:tcPr>
            <w:tcW w:w="1119" w:type="dxa"/>
            <w:vAlign w:val="center"/>
          </w:tcPr>
          <w:p>
            <w:pPr>
              <w:adjustRightInd w:val="0"/>
              <w:snapToGrid w:val="0"/>
              <w:ind w:left="-88" w:leftChars="-42"/>
              <w:jc w:val="center"/>
              <w:rPr>
                <w:rFonts w:ascii="宋体" w:cs="Times New Roman"/>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28" w:type="dxa"/>
            <w:bottom w:w="0" w:type="dxa"/>
            <w:right w:w="28" w:type="dxa"/>
          </w:tblCellMar>
        </w:tblPrEx>
        <w:trPr>
          <w:trHeight w:val="505" w:hRule="atLeast"/>
          <w:jc w:val="center"/>
        </w:trPr>
        <w:tc>
          <w:tcPr>
            <w:tcW w:w="634" w:type="dxa"/>
            <w:tcBorders>
              <w:bottom w:val="double" w:color="auto" w:sz="4" w:space="0"/>
            </w:tcBorders>
          </w:tcPr>
          <w:p>
            <w:pPr>
              <w:adjustRightInd w:val="0"/>
              <w:snapToGrid w:val="0"/>
              <w:ind w:left="-88" w:leftChars="-42"/>
              <w:jc w:val="center"/>
              <w:rPr>
                <w:rFonts w:ascii="宋体" w:cs="Times New Roman"/>
              </w:rPr>
            </w:pPr>
          </w:p>
        </w:tc>
        <w:tc>
          <w:tcPr>
            <w:tcW w:w="1685" w:type="dxa"/>
            <w:tcBorders>
              <w:bottom w:val="double" w:color="auto" w:sz="4" w:space="0"/>
            </w:tcBorders>
            <w:vAlign w:val="center"/>
          </w:tcPr>
          <w:p>
            <w:pPr>
              <w:adjustRightInd w:val="0"/>
              <w:snapToGrid w:val="0"/>
              <w:ind w:left="-88" w:leftChars="-42"/>
              <w:jc w:val="center"/>
              <w:rPr>
                <w:rFonts w:ascii="宋体" w:cs="Times New Roman"/>
              </w:rPr>
            </w:pPr>
          </w:p>
        </w:tc>
        <w:tc>
          <w:tcPr>
            <w:tcW w:w="1948" w:type="dxa"/>
            <w:tcBorders>
              <w:bottom w:val="double" w:color="auto" w:sz="4" w:space="0"/>
            </w:tcBorders>
            <w:vAlign w:val="center"/>
          </w:tcPr>
          <w:p>
            <w:pPr>
              <w:adjustRightInd w:val="0"/>
              <w:snapToGrid w:val="0"/>
              <w:ind w:left="-88" w:leftChars="-42"/>
              <w:jc w:val="center"/>
              <w:rPr>
                <w:rFonts w:ascii="宋体" w:cs="Times New Roman"/>
              </w:rPr>
            </w:pPr>
          </w:p>
        </w:tc>
        <w:tc>
          <w:tcPr>
            <w:tcW w:w="2600" w:type="dxa"/>
            <w:tcBorders>
              <w:bottom w:val="double" w:color="auto" w:sz="4" w:space="0"/>
            </w:tcBorders>
            <w:vAlign w:val="center"/>
          </w:tcPr>
          <w:p>
            <w:pPr>
              <w:adjustRightInd w:val="0"/>
              <w:snapToGrid w:val="0"/>
              <w:ind w:left="-88" w:leftChars="-42"/>
              <w:jc w:val="center"/>
              <w:rPr>
                <w:rFonts w:ascii="宋体" w:cs="Times New Roman"/>
              </w:rPr>
            </w:pPr>
          </w:p>
        </w:tc>
        <w:tc>
          <w:tcPr>
            <w:tcW w:w="1517" w:type="dxa"/>
            <w:tcBorders>
              <w:bottom w:val="double" w:color="auto" w:sz="4" w:space="0"/>
            </w:tcBorders>
            <w:vAlign w:val="center"/>
          </w:tcPr>
          <w:p>
            <w:pPr>
              <w:adjustRightInd w:val="0"/>
              <w:snapToGrid w:val="0"/>
              <w:ind w:left="-88" w:leftChars="-42"/>
              <w:jc w:val="center"/>
              <w:rPr>
                <w:rFonts w:ascii="宋体" w:cs="Times New Roman"/>
              </w:rPr>
            </w:pPr>
          </w:p>
        </w:tc>
        <w:tc>
          <w:tcPr>
            <w:tcW w:w="1119" w:type="dxa"/>
            <w:tcBorders>
              <w:bottom w:val="double" w:color="auto" w:sz="4" w:space="0"/>
            </w:tcBorders>
            <w:vAlign w:val="center"/>
          </w:tcPr>
          <w:p>
            <w:pPr>
              <w:adjustRightInd w:val="0"/>
              <w:snapToGrid w:val="0"/>
              <w:ind w:left="-88" w:leftChars="-42"/>
              <w:jc w:val="center"/>
              <w:rPr>
                <w:rFonts w:ascii="宋体" w:cs="Times New Roman"/>
              </w:rPr>
            </w:pPr>
          </w:p>
        </w:tc>
      </w:tr>
    </w:tbl>
    <w:p>
      <w:pPr>
        <w:adjustRightInd w:val="0"/>
        <w:snapToGrid w:val="0"/>
        <w:spacing w:line="360" w:lineRule="auto"/>
        <w:ind w:left="-88" w:leftChars="-42"/>
        <w:rPr>
          <w:rFonts w:cs="Times New Roman" w:asciiTheme="minorEastAsia" w:hAnsiTheme="minorEastAsia" w:eastAsiaTheme="minorEastAsia"/>
        </w:rPr>
      </w:pPr>
      <w:r>
        <w:rPr>
          <w:rFonts w:hint="eastAsia" w:cs="仿宋_GB2312" w:asciiTheme="minorEastAsia" w:hAnsiTheme="minorEastAsia" w:eastAsiaTheme="minorEastAsia"/>
        </w:rPr>
        <w:t>说明：</w:t>
      </w:r>
      <w:r>
        <w:rPr>
          <w:rFonts w:cs="仿宋_GB2312" w:asciiTheme="minorEastAsia" w:hAnsiTheme="minorEastAsia" w:eastAsiaTheme="minorEastAsia"/>
        </w:rPr>
        <w:t>1</w:t>
      </w:r>
      <w:r>
        <w:rPr>
          <w:rFonts w:hint="eastAsia" w:cs="仿宋_GB2312" w:asciiTheme="minorEastAsia" w:hAnsiTheme="minorEastAsia" w:eastAsiaTheme="minorEastAsia"/>
        </w:rPr>
        <w:t>、“响应与偏离”应注明“响应”或“偏离”。</w:t>
      </w:r>
    </w:p>
    <w:p>
      <w:pPr>
        <w:adjustRightInd w:val="0"/>
        <w:snapToGrid w:val="0"/>
        <w:spacing w:line="360" w:lineRule="auto"/>
        <w:ind w:firstLine="525" w:firstLineChars="250"/>
        <w:rPr>
          <w:rFonts w:cs="Times New Roman" w:asciiTheme="minorEastAsia" w:hAnsiTheme="minorEastAsia" w:eastAsiaTheme="minorEastAsia"/>
        </w:rPr>
      </w:pPr>
      <w:r>
        <w:rPr>
          <w:rFonts w:cs="仿宋_GB2312" w:asciiTheme="minorEastAsia" w:hAnsiTheme="minorEastAsia" w:eastAsiaTheme="minorEastAsia"/>
        </w:rPr>
        <w:t>2</w:t>
      </w:r>
      <w:r>
        <w:rPr>
          <w:rFonts w:hint="eastAsia" w:cs="仿宋_GB2312" w:asciiTheme="minorEastAsia" w:hAnsiTheme="minorEastAsia" w:eastAsiaTheme="minorEastAsia"/>
        </w:rPr>
        <w:t>、属谈判文件规定可能变动的内容在“说明”栏中注明。</w:t>
      </w:r>
    </w:p>
    <w:p>
      <w:pPr>
        <w:pStyle w:val="4"/>
        <w:adjustRightInd w:val="0"/>
        <w:snapToGrid w:val="0"/>
        <w:spacing w:line="360" w:lineRule="auto"/>
        <w:outlineLvl w:val="0"/>
        <w:rPr>
          <w:rFonts w:ascii="宋体" w:cs="Times New Roman"/>
          <w:sz w:val="21"/>
          <w:szCs w:val="21"/>
        </w:rPr>
      </w:pPr>
    </w:p>
    <w:p>
      <w:pPr>
        <w:pStyle w:val="4"/>
        <w:adjustRightInd w:val="0"/>
        <w:snapToGrid w:val="0"/>
        <w:spacing w:line="360" w:lineRule="auto"/>
        <w:outlineLvl w:val="0"/>
        <w:rPr>
          <w:rFonts w:ascii="宋体" w:cs="Times New Roman"/>
          <w:sz w:val="21"/>
          <w:szCs w:val="21"/>
        </w:rPr>
      </w:pPr>
      <w:r>
        <w:rPr>
          <w:rFonts w:hint="eastAsia" w:ascii="宋体" w:hAnsi="宋体" w:cs="宋体"/>
          <w:sz w:val="21"/>
          <w:szCs w:val="21"/>
        </w:rPr>
        <w:t>供应商名称：</w:t>
      </w:r>
      <w:r>
        <w:rPr>
          <w:rFonts w:hint="eastAsia" w:ascii="宋体" w:hAnsi="宋体" w:cs="宋体"/>
          <w:sz w:val="21"/>
          <w:szCs w:val="21"/>
          <w:u w:val="single"/>
        </w:rPr>
        <w:t xml:space="preserve">                      </w:t>
      </w:r>
    </w:p>
    <w:p>
      <w:pPr>
        <w:adjustRightInd w:val="0"/>
        <w:snapToGrid w:val="0"/>
        <w:spacing w:line="360" w:lineRule="auto"/>
        <w:outlineLvl w:val="0"/>
        <w:rPr>
          <w:rFonts w:ascii="宋体" w:cs="Times New Roman"/>
          <w:u w:val="single"/>
        </w:rPr>
      </w:pPr>
      <w:r>
        <w:rPr>
          <w:rFonts w:hint="eastAsia" w:ascii="宋体" w:hAnsi="宋体" w:cs="宋体"/>
        </w:rPr>
        <w:t>法定代表人或其委托代理人</w:t>
      </w:r>
      <w:r>
        <w:rPr>
          <w:rFonts w:ascii="宋体" w:hAnsi="宋体" w:cs="宋体"/>
        </w:rPr>
        <w:t>(</w:t>
      </w:r>
      <w:r>
        <w:rPr>
          <w:rFonts w:hint="eastAsia" w:ascii="宋体" w:hAnsi="宋体" w:cs="宋体"/>
        </w:rPr>
        <w:t>签字</w:t>
      </w:r>
      <w:r>
        <w:rPr>
          <w:rFonts w:ascii="宋体" w:hAnsi="宋体" w:cs="宋体"/>
        </w:rPr>
        <w:t>)</w:t>
      </w:r>
      <w:r>
        <w:rPr>
          <w:rFonts w:hint="eastAsia" w:ascii="宋体" w:hAnsi="宋体" w:cs="宋体"/>
        </w:rPr>
        <w:t>：</w:t>
      </w:r>
      <w:r>
        <w:rPr>
          <w:rFonts w:hint="eastAsia" w:ascii="宋体" w:hAnsi="宋体" w:cs="宋体"/>
          <w:u w:val="single"/>
        </w:rPr>
        <w:t xml:space="preserve">             </w:t>
      </w:r>
    </w:p>
    <w:p>
      <w:pPr>
        <w:adjustRightInd w:val="0"/>
        <w:snapToGrid w:val="0"/>
        <w:spacing w:line="360" w:lineRule="auto"/>
        <w:outlineLvl w:val="0"/>
        <w:rPr>
          <w:rFonts w:ascii="宋体" w:cs="Times New Roman"/>
        </w:rPr>
      </w:pPr>
      <w:r>
        <w:rPr>
          <w:rFonts w:hint="eastAsia" w:ascii="宋体" w:hAnsi="宋体" w:cs="宋体"/>
        </w:rPr>
        <w:t>日</w:t>
      </w:r>
      <w:r>
        <w:rPr>
          <w:rFonts w:ascii="宋体" w:hAnsi="宋体" w:cs="宋体"/>
        </w:rPr>
        <w:t xml:space="preserve">      </w:t>
      </w:r>
      <w:r>
        <w:rPr>
          <w:rFonts w:hint="eastAsia" w:ascii="宋体" w:hAnsi="宋体" w:cs="宋体"/>
        </w:rPr>
        <w:t>期：</w:t>
      </w:r>
      <w:r>
        <w:rPr>
          <w:rFonts w:ascii="宋体" w:hAnsi="宋体" w:cs="宋体"/>
          <w:u w:val="single"/>
        </w:rPr>
        <w:t xml:space="preserve"> </w:t>
      </w:r>
      <w:r>
        <w:rPr>
          <w:rFonts w:hint="eastAsia" w:ascii="宋体" w:hAnsi="宋体" w:cs="宋体"/>
          <w:u w:val="single"/>
        </w:rPr>
        <w:t xml:space="preserve">     </w:t>
      </w:r>
      <w:r>
        <w:rPr>
          <w:rFonts w:ascii="宋体" w:hAnsi="宋体" w:cs="宋体"/>
          <w:u w:val="single"/>
        </w:rPr>
        <w:t xml:space="preserve"> </w:t>
      </w:r>
      <w:r>
        <w:rPr>
          <w:rFonts w:hint="eastAsia" w:ascii="宋体" w:hAnsi="宋体" w:cs="宋体"/>
        </w:rPr>
        <w:t>年</w:t>
      </w:r>
      <w:r>
        <w:rPr>
          <w:rFonts w:ascii="宋体" w:hAnsi="宋体" w:cs="宋体"/>
          <w:u w:val="single"/>
        </w:rPr>
        <w:t xml:space="preserve">  </w:t>
      </w:r>
      <w:r>
        <w:rPr>
          <w:rFonts w:hint="eastAsia" w:ascii="宋体" w:hAnsi="宋体" w:cs="宋体"/>
          <w:u w:val="single"/>
        </w:rPr>
        <w:t xml:space="preserve">   </w:t>
      </w:r>
      <w:r>
        <w:rPr>
          <w:rFonts w:hint="eastAsia" w:ascii="宋体" w:hAnsi="宋体" w:cs="宋体"/>
        </w:rPr>
        <w:t>月</w:t>
      </w:r>
      <w:r>
        <w:rPr>
          <w:rFonts w:ascii="宋体" w:hAnsi="宋体" w:cs="宋体"/>
          <w:u w:val="single"/>
        </w:rPr>
        <w:t xml:space="preserve"> </w:t>
      </w:r>
      <w:r>
        <w:rPr>
          <w:rFonts w:hint="eastAsia" w:ascii="宋体" w:hAnsi="宋体" w:cs="宋体"/>
          <w:u w:val="single"/>
        </w:rPr>
        <w:t xml:space="preserve">  </w:t>
      </w:r>
      <w:r>
        <w:rPr>
          <w:rFonts w:ascii="宋体" w:hAnsi="宋体" w:cs="宋体"/>
          <w:u w:val="single"/>
        </w:rPr>
        <w:t xml:space="preserve"> </w:t>
      </w:r>
      <w:r>
        <w:rPr>
          <w:rFonts w:hint="eastAsia" w:ascii="宋体" w:hAnsi="宋体" w:cs="宋体"/>
        </w:rPr>
        <w:t>日</w:t>
      </w:r>
    </w:p>
    <w:p>
      <w:pPr>
        <w:adjustRightInd w:val="0"/>
        <w:snapToGrid w:val="0"/>
        <w:spacing w:line="360" w:lineRule="auto"/>
        <w:rPr>
          <w:rFonts w:ascii="宋体" w:cs="Times New Roman"/>
        </w:rPr>
      </w:pPr>
    </w:p>
    <w:p>
      <w:pPr>
        <w:tabs>
          <w:tab w:val="left" w:pos="3600"/>
        </w:tabs>
        <w:adjustRightInd w:val="0"/>
        <w:snapToGrid w:val="0"/>
        <w:jc w:val="center"/>
        <w:rPr>
          <w:rFonts w:ascii="黑体" w:hAnsi="宋体" w:eastAsia="黑体" w:cs="Times New Roman"/>
          <w:b/>
          <w:bCs/>
          <w:sz w:val="32"/>
          <w:szCs w:val="32"/>
        </w:rPr>
      </w:pPr>
      <w:r>
        <w:rPr>
          <w:rFonts w:cs="Times New Roman"/>
        </w:rPr>
        <w:br w:type="page"/>
      </w:r>
      <w:r>
        <w:rPr>
          <w:rFonts w:hint="eastAsia" w:ascii="黑体" w:eastAsia="黑体" w:cs="黑体"/>
          <w:b/>
          <w:bCs/>
          <w:sz w:val="32"/>
          <w:szCs w:val="32"/>
        </w:rPr>
        <w:t>六、</w:t>
      </w:r>
      <w:r>
        <w:rPr>
          <w:rFonts w:hint="eastAsia" w:ascii="黑体" w:hAnsi="宋体" w:eastAsia="黑体" w:cs="黑体"/>
          <w:b/>
          <w:bCs/>
          <w:sz w:val="32"/>
          <w:szCs w:val="32"/>
        </w:rPr>
        <w:t>提供政府采购政策产品等证明材料</w:t>
      </w:r>
    </w:p>
    <w:p>
      <w:pPr>
        <w:rPr>
          <w:rFonts w:ascii="黑体" w:eastAsia="黑体" w:cs="黑体"/>
          <w:sz w:val="32"/>
          <w:szCs w:val="32"/>
        </w:rPr>
      </w:pPr>
    </w:p>
    <w:p>
      <w:pPr>
        <w:rPr>
          <w:rFonts w:ascii="黑体" w:eastAsia="黑体" w:cs="黑体"/>
          <w:sz w:val="32"/>
          <w:szCs w:val="32"/>
        </w:rPr>
      </w:pPr>
      <w:r>
        <w:rPr>
          <w:rFonts w:hint="eastAsia" w:ascii="黑体" w:eastAsia="黑体" w:cs="黑体"/>
          <w:sz w:val="32"/>
          <w:szCs w:val="32"/>
        </w:rPr>
        <w:t>附件8</w:t>
      </w:r>
    </w:p>
    <w:p>
      <w:pPr>
        <w:tabs>
          <w:tab w:val="left" w:pos="3600"/>
        </w:tabs>
        <w:adjustRightInd w:val="0"/>
        <w:snapToGrid w:val="0"/>
        <w:jc w:val="center"/>
        <w:rPr>
          <w:rFonts w:ascii="黑体" w:hAnsi="华文中宋" w:eastAsia="黑体" w:cs="Times New Roman"/>
          <w:sz w:val="36"/>
          <w:szCs w:val="36"/>
        </w:rPr>
      </w:pPr>
      <w:r>
        <w:rPr>
          <w:rFonts w:hint="eastAsia" w:ascii="黑体" w:hAnsi="华文中宋" w:eastAsia="黑体" w:cs="黑体"/>
          <w:spacing w:val="6"/>
          <w:sz w:val="36"/>
          <w:szCs w:val="36"/>
        </w:rPr>
        <w:t>中小企业声明函</w:t>
      </w:r>
    </w:p>
    <w:p>
      <w:pPr>
        <w:widowControl/>
        <w:adjustRightInd w:val="0"/>
        <w:snapToGrid w:val="0"/>
        <w:spacing w:beforeLines="50" w:line="360" w:lineRule="auto"/>
        <w:ind w:firstLine="444" w:firstLineChars="200"/>
        <w:jc w:val="left"/>
        <w:rPr>
          <w:rFonts w:ascii="宋体" w:cs="Times New Roman"/>
          <w:spacing w:val="6"/>
        </w:rPr>
      </w:pPr>
    </w:p>
    <w:p>
      <w:pPr>
        <w:widowControl/>
        <w:adjustRightInd w:val="0"/>
        <w:snapToGrid w:val="0"/>
        <w:spacing w:line="360" w:lineRule="auto"/>
        <w:ind w:firstLine="444" w:firstLineChars="200"/>
        <w:jc w:val="left"/>
        <w:rPr>
          <w:rFonts w:ascii="宋体" w:cs="Times New Roman"/>
        </w:rPr>
      </w:pPr>
      <w:r>
        <w:rPr>
          <w:rFonts w:hint="eastAsia" w:ascii="宋体" w:hAnsi="宋体" w:cs="宋体"/>
          <w:spacing w:val="6"/>
        </w:rPr>
        <w:t>本公司郑重声明，根据《政府采购促进中小企业发展暂行办法》（财库</w:t>
      </w:r>
      <w:r>
        <w:rPr>
          <w:rFonts w:ascii="宋体" w:hAnsi="宋体" w:cs="宋体"/>
          <w:spacing w:val="6"/>
        </w:rPr>
        <w:t>[2011]181</w:t>
      </w:r>
      <w:r>
        <w:rPr>
          <w:rFonts w:hint="eastAsia" w:ascii="宋体" w:hAnsi="宋体" w:cs="宋体"/>
          <w:spacing w:val="6"/>
        </w:rPr>
        <w:t>号）的规定，本公司为</w:t>
      </w:r>
      <w:r>
        <w:rPr>
          <w:rFonts w:hint="eastAsia" w:ascii="宋体" w:hAnsi="宋体" w:cs="宋体"/>
          <w:spacing w:val="6"/>
          <w:u w:val="single"/>
        </w:rPr>
        <w:t xml:space="preserve">     </w:t>
      </w:r>
      <w:r>
        <w:rPr>
          <w:rFonts w:hint="eastAsia" w:ascii="宋体" w:hAnsi="宋体" w:cs="宋体"/>
          <w:spacing w:val="6"/>
        </w:rPr>
        <w:t>（请填写：中型、小型、微型）企业。即，本公司同时满足以下条件：</w:t>
      </w:r>
    </w:p>
    <w:p>
      <w:pPr>
        <w:widowControl/>
        <w:adjustRightInd w:val="0"/>
        <w:snapToGrid w:val="0"/>
        <w:spacing w:line="360" w:lineRule="auto"/>
        <w:ind w:firstLine="444" w:firstLineChars="200"/>
        <w:jc w:val="left"/>
        <w:rPr>
          <w:rFonts w:ascii="宋体" w:cs="Times New Roman"/>
        </w:rPr>
      </w:pPr>
      <w:r>
        <w:rPr>
          <w:rFonts w:ascii="宋体" w:hAnsi="宋体" w:cs="宋体"/>
          <w:spacing w:val="6"/>
        </w:rPr>
        <w:t>1.</w:t>
      </w:r>
      <w:r>
        <w:rPr>
          <w:rFonts w:hint="eastAsia" w:ascii="宋体" w:hAnsi="宋体" w:cs="宋体"/>
          <w:spacing w:val="6"/>
        </w:rPr>
        <w:t>根据《工业和信息化部、国家统计局、国家发展和改革委员会、财政部关于印发中小企业划型标准规定的通知》（工信部联企业</w:t>
      </w:r>
      <w:r>
        <w:rPr>
          <w:rFonts w:ascii="宋体" w:hAnsi="宋体" w:cs="宋体"/>
          <w:spacing w:val="6"/>
        </w:rPr>
        <w:t>[2011]300</w:t>
      </w:r>
      <w:r>
        <w:rPr>
          <w:rFonts w:hint="eastAsia" w:ascii="宋体" w:hAnsi="宋体" w:cs="宋体"/>
          <w:spacing w:val="6"/>
        </w:rPr>
        <w:t>号）规定的划分标准，本公司为</w:t>
      </w:r>
      <w:r>
        <w:rPr>
          <w:rFonts w:hint="eastAsia" w:ascii="宋体" w:hAnsi="宋体" w:cs="宋体"/>
          <w:spacing w:val="6"/>
          <w:u w:val="single"/>
        </w:rPr>
        <w:t xml:space="preserve">      </w:t>
      </w:r>
      <w:r>
        <w:rPr>
          <w:rFonts w:hint="eastAsia" w:ascii="宋体" w:hAnsi="宋体" w:cs="宋体"/>
          <w:spacing w:val="6"/>
        </w:rPr>
        <w:t>（请填写：中型、小型、微型）企业。</w:t>
      </w:r>
    </w:p>
    <w:p>
      <w:pPr>
        <w:widowControl/>
        <w:adjustRightInd w:val="0"/>
        <w:snapToGrid w:val="0"/>
        <w:spacing w:line="360" w:lineRule="auto"/>
        <w:ind w:firstLine="444" w:firstLineChars="200"/>
        <w:jc w:val="left"/>
        <w:rPr>
          <w:rFonts w:ascii="宋体" w:cs="Times New Roman"/>
        </w:rPr>
      </w:pPr>
      <w:r>
        <w:rPr>
          <w:rFonts w:ascii="宋体" w:hAnsi="宋体" w:cs="宋体"/>
          <w:spacing w:val="6"/>
        </w:rPr>
        <w:t>2.</w:t>
      </w:r>
      <w:r>
        <w:rPr>
          <w:rFonts w:hint="eastAsia" w:ascii="宋体" w:hAnsi="宋体" w:cs="宋体"/>
          <w:spacing w:val="6"/>
        </w:rPr>
        <w:t>本公司参加</w:t>
      </w:r>
      <w:r>
        <w:rPr>
          <w:rFonts w:hint="eastAsia" w:ascii="宋体" w:hAnsi="宋体" w:cs="宋体"/>
          <w:spacing w:val="6"/>
          <w:u w:val="single"/>
        </w:rPr>
        <w:t xml:space="preserve">              </w:t>
      </w:r>
      <w:r>
        <w:rPr>
          <w:rFonts w:hint="eastAsia" w:ascii="宋体" w:hAnsi="宋体" w:cs="宋体"/>
          <w:spacing w:val="6"/>
        </w:rPr>
        <w:t>单位的</w:t>
      </w:r>
      <w:r>
        <w:rPr>
          <w:rFonts w:hint="eastAsia" w:ascii="宋体" w:hAnsi="宋体" w:cs="宋体"/>
          <w:spacing w:val="6"/>
          <w:u w:val="single"/>
        </w:rPr>
        <w:t xml:space="preserve">                    </w:t>
      </w:r>
      <w:r>
        <w:rPr>
          <w:rFonts w:ascii="宋体" w:hAnsi="宋体" w:cs="宋体"/>
          <w:spacing w:val="6"/>
        </w:rPr>
        <w:t xml:space="preserve"> </w:t>
      </w:r>
      <w:r>
        <w:rPr>
          <w:rFonts w:hint="eastAsia" w:ascii="宋体" w:hAnsi="宋体" w:cs="宋体"/>
          <w:spacing w:val="6"/>
        </w:rPr>
        <w:t>项目采购活动提供本企业制造的货物，由本企业承担工程、提供服务，或者提供其他</w:t>
      </w:r>
      <w:r>
        <w:rPr>
          <w:rFonts w:hint="eastAsia" w:ascii="宋体" w:hAnsi="宋体" w:cs="宋体"/>
          <w:spacing w:val="6"/>
          <w:u w:val="single"/>
        </w:rPr>
        <w:t xml:space="preserve">      </w:t>
      </w:r>
      <w:r>
        <w:rPr>
          <w:rFonts w:hint="eastAsia" w:ascii="宋体" w:hAnsi="宋体" w:cs="宋体"/>
          <w:spacing w:val="6"/>
        </w:rPr>
        <w:t>（请填写：中型、小型、微型）企业制造的货物。本条所称货物不包括使用大型企业注册商标的货物。</w:t>
      </w:r>
    </w:p>
    <w:p>
      <w:pPr>
        <w:widowControl/>
        <w:adjustRightInd w:val="0"/>
        <w:snapToGrid w:val="0"/>
        <w:spacing w:line="360" w:lineRule="auto"/>
        <w:ind w:firstLine="444" w:firstLineChars="200"/>
        <w:jc w:val="left"/>
        <w:rPr>
          <w:rFonts w:ascii="宋体" w:cs="Times New Roman"/>
        </w:rPr>
      </w:pPr>
      <w:r>
        <w:rPr>
          <w:rFonts w:hint="eastAsia" w:ascii="宋体" w:hAnsi="宋体" w:cs="宋体"/>
          <w:spacing w:val="6"/>
        </w:rPr>
        <w:t>本公司对上述声明的真实性负责。如有虚假，将依法承担相应责任。</w:t>
      </w:r>
    </w:p>
    <w:p>
      <w:pPr>
        <w:widowControl/>
        <w:adjustRightInd w:val="0"/>
        <w:snapToGrid w:val="0"/>
        <w:spacing w:line="360" w:lineRule="auto"/>
        <w:ind w:firstLine="420" w:firstLineChars="200"/>
        <w:jc w:val="left"/>
        <w:rPr>
          <w:rFonts w:ascii="宋体" w:cs="Times New Roman"/>
        </w:rPr>
      </w:pPr>
    </w:p>
    <w:p>
      <w:pPr>
        <w:widowControl/>
        <w:adjustRightInd w:val="0"/>
        <w:snapToGrid w:val="0"/>
        <w:spacing w:line="360" w:lineRule="auto"/>
        <w:ind w:firstLine="444" w:firstLineChars="200"/>
        <w:jc w:val="center"/>
        <w:rPr>
          <w:rFonts w:ascii="宋体" w:cs="Times New Roman"/>
          <w:spacing w:val="6"/>
        </w:rPr>
      </w:pPr>
      <w:r>
        <w:rPr>
          <w:rFonts w:ascii="宋体" w:hAnsi="宋体" w:cs="宋体"/>
          <w:spacing w:val="6"/>
        </w:rPr>
        <w:t xml:space="preserve">            </w:t>
      </w:r>
      <w:r>
        <w:rPr>
          <w:rFonts w:hint="eastAsia" w:ascii="宋体" w:hAnsi="宋体" w:cs="宋体"/>
          <w:spacing w:val="6"/>
        </w:rPr>
        <w:t>供应商名称（盖单位章）：</w:t>
      </w:r>
      <w:r>
        <w:rPr>
          <w:rFonts w:ascii="宋体" w:hAnsi="宋体" w:cs="宋体"/>
          <w:spacing w:val="6"/>
        </w:rPr>
        <w:t xml:space="preserve"> </w:t>
      </w:r>
    </w:p>
    <w:p>
      <w:pPr>
        <w:widowControl/>
        <w:adjustRightInd w:val="0"/>
        <w:snapToGrid w:val="0"/>
        <w:spacing w:line="360" w:lineRule="auto"/>
        <w:ind w:firstLine="3441" w:firstLineChars="1550"/>
        <w:rPr>
          <w:rFonts w:ascii="宋体" w:cs="Times New Roman"/>
        </w:rPr>
      </w:pPr>
      <w:r>
        <w:rPr>
          <w:rFonts w:ascii="宋体" w:hAnsi="宋体" w:cs="宋体"/>
          <w:spacing w:val="6"/>
        </w:rPr>
        <w:t xml:space="preserve">   </w:t>
      </w:r>
      <w:r>
        <w:rPr>
          <w:rFonts w:hint="eastAsia" w:ascii="宋体" w:hAnsi="宋体" w:cs="宋体"/>
          <w:spacing w:val="6"/>
        </w:rPr>
        <w:t>日期：</w:t>
      </w:r>
      <w:r>
        <w:rPr>
          <w:rFonts w:hint="eastAsia" w:ascii="宋体" w:hAnsi="宋体" w:cs="宋体"/>
          <w:spacing w:val="6"/>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widowControl/>
        <w:adjustRightInd w:val="0"/>
        <w:snapToGrid w:val="0"/>
        <w:spacing w:line="360" w:lineRule="auto"/>
        <w:ind w:firstLine="420" w:firstLineChars="200"/>
        <w:jc w:val="center"/>
        <w:rPr>
          <w:rFonts w:ascii="宋体" w:cs="Times New Roman"/>
        </w:rPr>
      </w:pPr>
    </w:p>
    <w:p>
      <w:pPr>
        <w:adjustRightInd w:val="0"/>
        <w:snapToGrid w:val="0"/>
        <w:spacing w:line="360" w:lineRule="auto"/>
        <w:rPr>
          <w:rFonts w:ascii="宋体" w:cs="Times New Roman"/>
        </w:rPr>
      </w:pPr>
      <w:r>
        <w:rPr>
          <w:rFonts w:hint="eastAsia" w:ascii="宋体" w:hAnsi="宋体" w:cs="宋体"/>
        </w:rPr>
        <w:t>供应商（盖单位章）：</w:t>
      </w:r>
    </w:p>
    <w:p>
      <w:pPr>
        <w:adjustRightInd w:val="0"/>
        <w:snapToGrid w:val="0"/>
        <w:spacing w:line="360" w:lineRule="auto"/>
        <w:rPr>
          <w:rFonts w:ascii="宋体" w:cs="Times New Roman"/>
        </w:rPr>
      </w:pPr>
      <w:r>
        <w:rPr>
          <w:rFonts w:hint="eastAsia" w:ascii="宋体" w:hAnsi="宋体" w:cs="宋体"/>
        </w:rPr>
        <w:t>法定代表人或其委托代理人（签字）：</w:t>
      </w:r>
    </w:p>
    <w:p>
      <w:pPr>
        <w:adjustRightInd w:val="0"/>
        <w:snapToGrid w:val="0"/>
        <w:spacing w:line="360" w:lineRule="auto"/>
        <w:rPr>
          <w:rFonts w:ascii="宋体" w:cs="Times New Roman"/>
        </w:rPr>
      </w:pPr>
      <w:r>
        <w:rPr>
          <w:rFonts w:hint="eastAsia" w:ascii="宋体" w:hAnsi="宋体" w:cs="宋体"/>
        </w:rPr>
        <w:t>日期：年月日</w:t>
      </w:r>
    </w:p>
    <w:p>
      <w:pPr>
        <w:adjustRightInd w:val="0"/>
        <w:snapToGrid w:val="0"/>
        <w:spacing w:line="360" w:lineRule="auto"/>
        <w:rPr>
          <w:rFonts w:cs="Times New Roman" w:asciiTheme="minorEastAsia" w:hAnsiTheme="minorEastAsia" w:eastAsiaTheme="minorEastAsia"/>
        </w:rPr>
      </w:pPr>
    </w:p>
    <w:p>
      <w:pPr>
        <w:adjustRightInd w:val="0"/>
        <w:snapToGrid w:val="0"/>
        <w:spacing w:line="360" w:lineRule="auto"/>
        <w:ind w:firstLine="420" w:firstLineChars="200"/>
        <w:rPr>
          <w:rFonts w:cs="Times New Roman" w:asciiTheme="minorEastAsia" w:hAnsiTheme="minorEastAsia" w:eastAsiaTheme="minorEastAsia"/>
        </w:rPr>
      </w:pPr>
      <w:r>
        <w:rPr>
          <w:rFonts w:hint="eastAsia" w:cs="仿宋_GB2312" w:asciiTheme="minorEastAsia" w:hAnsiTheme="minorEastAsia" w:eastAsiaTheme="minorEastAsia"/>
        </w:rPr>
        <w:t>说明：</w:t>
      </w:r>
      <w:r>
        <w:rPr>
          <w:rFonts w:cs="仿宋_GB2312" w:asciiTheme="minorEastAsia" w:hAnsiTheme="minorEastAsia" w:eastAsiaTheme="minorEastAsia"/>
        </w:rPr>
        <w:t>1</w:t>
      </w:r>
      <w:r>
        <w:rPr>
          <w:rFonts w:hint="eastAsia" w:cs="仿宋_GB2312" w:asciiTheme="minorEastAsia" w:hAnsiTheme="minorEastAsia" w:eastAsiaTheme="minorEastAsia"/>
        </w:rPr>
        <w:t>、填写前请认真阅读</w:t>
      </w:r>
      <w:r>
        <w:rPr>
          <w:rFonts w:hint="eastAsia" w:cs="仿宋_GB2312" w:asciiTheme="minorEastAsia" w:hAnsiTheme="minorEastAsia" w:eastAsiaTheme="minorEastAsia"/>
          <w:spacing w:val="6"/>
        </w:rPr>
        <w:t>《工业和信息化部、国家统计局、国家发展和改革委员会、财政部关于印发中小企业划型标准规定的通知》（工信部联企业</w:t>
      </w:r>
      <w:r>
        <w:rPr>
          <w:rFonts w:cs="仿宋_GB2312" w:asciiTheme="minorEastAsia" w:hAnsiTheme="minorEastAsia" w:eastAsiaTheme="minorEastAsia"/>
          <w:spacing w:val="6"/>
        </w:rPr>
        <w:t>[2011]300</w:t>
      </w:r>
      <w:r>
        <w:rPr>
          <w:rFonts w:hint="eastAsia" w:cs="仿宋_GB2312" w:asciiTheme="minorEastAsia" w:hAnsiTheme="minorEastAsia" w:eastAsiaTheme="minorEastAsia"/>
          <w:spacing w:val="6"/>
        </w:rPr>
        <w:t>号）和《财政部工业和信息化部</w:t>
      </w:r>
      <w:r>
        <w:rPr>
          <w:rFonts w:hint="eastAsia" w:cs="仿宋_GB2312" w:asciiTheme="minorEastAsia" w:hAnsiTheme="minorEastAsia" w:eastAsiaTheme="minorEastAsia"/>
        </w:rPr>
        <w:t>关于印发＜政府采购促进中小企业发展暂行办法＞的通知》</w:t>
      </w:r>
      <w:r>
        <w:rPr>
          <w:rFonts w:cs="仿宋_GB2312" w:asciiTheme="minorEastAsia" w:hAnsiTheme="minorEastAsia" w:eastAsiaTheme="minorEastAsia"/>
        </w:rPr>
        <w:t>(</w:t>
      </w:r>
      <w:r>
        <w:rPr>
          <w:rFonts w:hint="eastAsia" w:cs="仿宋_GB2312" w:asciiTheme="minorEastAsia" w:hAnsiTheme="minorEastAsia" w:eastAsiaTheme="minorEastAsia"/>
        </w:rPr>
        <w:t>财库</w:t>
      </w:r>
      <w:r>
        <w:rPr>
          <w:rFonts w:cs="仿宋_GB2312" w:asciiTheme="minorEastAsia" w:hAnsiTheme="minorEastAsia" w:eastAsiaTheme="minorEastAsia"/>
        </w:rPr>
        <w:t>[2011]181</w:t>
      </w:r>
      <w:r>
        <w:rPr>
          <w:rFonts w:hint="eastAsia" w:cs="仿宋_GB2312" w:asciiTheme="minorEastAsia" w:hAnsiTheme="minorEastAsia" w:eastAsiaTheme="minorEastAsia"/>
        </w:rPr>
        <w:t>号</w:t>
      </w:r>
      <w:r>
        <w:rPr>
          <w:rFonts w:cs="仿宋_GB2312" w:asciiTheme="minorEastAsia" w:hAnsiTheme="minorEastAsia" w:eastAsiaTheme="minorEastAsia"/>
        </w:rPr>
        <w:t>)</w:t>
      </w:r>
      <w:r>
        <w:rPr>
          <w:rFonts w:hint="eastAsia" w:cs="仿宋_GB2312" w:asciiTheme="minorEastAsia" w:hAnsiTheme="minorEastAsia" w:eastAsiaTheme="minorEastAsia"/>
        </w:rPr>
        <w:t>相关规定。</w:t>
      </w:r>
    </w:p>
    <w:p>
      <w:pPr>
        <w:adjustRightInd w:val="0"/>
        <w:snapToGrid w:val="0"/>
        <w:spacing w:line="360" w:lineRule="auto"/>
        <w:ind w:firstLine="525" w:firstLineChars="250"/>
        <w:rPr>
          <w:rFonts w:cs="Times New Roman" w:asciiTheme="minorEastAsia" w:hAnsiTheme="minorEastAsia" w:eastAsiaTheme="minorEastAsia"/>
        </w:rPr>
      </w:pPr>
      <w:r>
        <w:rPr>
          <w:rFonts w:cs="仿宋_GB2312" w:asciiTheme="minorEastAsia" w:hAnsiTheme="minorEastAsia" w:eastAsiaTheme="minorEastAsia"/>
        </w:rPr>
        <w:t>2</w:t>
      </w:r>
      <w:r>
        <w:rPr>
          <w:rFonts w:hint="eastAsia" w:cs="仿宋_GB2312" w:asciiTheme="minorEastAsia" w:hAnsiTheme="minorEastAsia" w:eastAsiaTheme="minorEastAsia"/>
        </w:rPr>
        <w:t>、中小企业</w:t>
      </w:r>
      <w:r>
        <w:rPr>
          <w:rFonts w:hint="eastAsia" w:cs="宋体" w:asciiTheme="minorEastAsia" w:hAnsiTheme="minorEastAsia" w:eastAsiaTheme="minorEastAsia"/>
          <w:spacing w:val="6"/>
        </w:rPr>
        <w:t>部分</w:t>
      </w:r>
      <w:r>
        <w:rPr>
          <w:rFonts w:hint="eastAsia" w:cs="仿宋_GB2312" w:asciiTheme="minorEastAsia" w:hAnsiTheme="minorEastAsia" w:eastAsiaTheme="minorEastAsia"/>
        </w:rPr>
        <w:t>提供</w:t>
      </w:r>
      <w:r>
        <w:rPr>
          <w:rFonts w:hint="eastAsia" w:cs="宋体" w:asciiTheme="minorEastAsia" w:hAnsiTheme="minorEastAsia" w:eastAsiaTheme="minorEastAsia"/>
          <w:spacing w:val="6"/>
        </w:rPr>
        <w:t>其他中小企业制造货物的应另附</w:t>
      </w:r>
      <w:r>
        <w:rPr>
          <w:rFonts w:hint="eastAsia" w:cs="仿宋_GB2312" w:asciiTheme="minorEastAsia" w:hAnsiTheme="minorEastAsia" w:eastAsiaTheme="minorEastAsia"/>
        </w:rPr>
        <w:t>说明，并与后面的报价一栏表保持一致。</w:t>
      </w:r>
    </w:p>
    <w:p>
      <w:pPr>
        <w:adjustRightInd w:val="0"/>
        <w:snapToGrid w:val="0"/>
        <w:spacing w:line="360" w:lineRule="auto"/>
        <w:ind w:firstLine="630" w:firstLineChars="300"/>
        <w:rPr>
          <w:rFonts w:cs="Times New Roman" w:asciiTheme="minorEastAsia" w:hAnsiTheme="minorEastAsia" w:eastAsiaTheme="minorEastAsia"/>
        </w:rPr>
      </w:pPr>
      <w:r>
        <w:rPr>
          <w:rFonts w:cs="仿宋_GB2312" w:asciiTheme="minorEastAsia" w:hAnsiTheme="minorEastAsia" w:eastAsiaTheme="minorEastAsia"/>
        </w:rPr>
        <w:t>3</w:t>
      </w:r>
      <w:r>
        <w:rPr>
          <w:rFonts w:hint="eastAsia" w:cs="仿宋_GB2312" w:asciiTheme="minorEastAsia" w:hAnsiTheme="minorEastAsia" w:eastAsiaTheme="minorEastAsia"/>
        </w:rPr>
        <w:t>、未按上述要求提供、填写的，评审时不予以考虑。</w:t>
      </w:r>
    </w:p>
    <w:p>
      <w:pPr>
        <w:adjustRightInd w:val="0"/>
        <w:snapToGrid w:val="0"/>
        <w:spacing w:before="50" w:line="360" w:lineRule="auto"/>
        <w:jc w:val="center"/>
        <w:rPr>
          <w:rFonts w:ascii="黑体" w:hAnsi="宋体" w:eastAsia="黑体" w:cs="Times New Roman"/>
          <w:b/>
          <w:bCs/>
          <w:sz w:val="28"/>
          <w:szCs w:val="28"/>
        </w:rPr>
      </w:pPr>
    </w:p>
    <w:p>
      <w:pPr>
        <w:adjustRightInd w:val="0"/>
        <w:snapToGrid w:val="0"/>
        <w:spacing w:before="50" w:line="360" w:lineRule="auto"/>
        <w:jc w:val="both"/>
        <w:rPr>
          <w:rFonts w:ascii="黑体" w:hAnsi="宋体" w:eastAsia="黑体" w:cs="Times New Roman"/>
          <w:b/>
          <w:bCs/>
          <w:sz w:val="28"/>
          <w:szCs w:val="28"/>
        </w:rPr>
      </w:pPr>
    </w:p>
    <w:p>
      <w:pPr>
        <w:adjustRightInd w:val="0"/>
        <w:snapToGrid w:val="0"/>
        <w:spacing w:before="50" w:line="360" w:lineRule="auto"/>
        <w:jc w:val="center"/>
        <w:rPr>
          <w:rFonts w:ascii="黑体" w:hAnsi="宋体" w:eastAsia="黑体" w:cs="Times New Roman"/>
          <w:b/>
          <w:bCs/>
          <w:sz w:val="28"/>
          <w:szCs w:val="28"/>
        </w:rPr>
      </w:pPr>
      <w:r>
        <w:rPr>
          <w:rFonts w:hint="eastAsia" w:ascii="黑体" w:hAnsi="宋体" w:eastAsia="黑体" w:cs="黑体"/>
          <w:b/>
          <w:bCs/>
          <w:sz w:val="28"/>
          <w:szCs w:val="28"/>
        </w:rPr>
        <w:t>“节能产品”、“环境标志产品”、“两型产品”证明材料</w:t>
      </w:r>
    </w:p>
    <w:p>
      <w:pPr>
        <w:spacing w:line="480" w:lineRule="exact"/>
        <w:rPr>
          <w:rFonts w:ascii="黑体" w:eastAsia="黑体" w:cs="Times New Roman"/>
          <w:sz w:val="24"/>
          <w:szCs w:val="24"/>
        </w:rPr>
      </w:pPr>
    </w:p>
    <w:p>
      <w:pPr>
        <w:adjustRightInd w:val="0"/>
        <w:snapToGrid w:val="0"/>
        <w:spacing w:line="360" w:lineRule="auto"/>
        <w:rPr>
          <w:rFonts w:ascii="仿宋_GB2312" w:hAnsi="宋体" w:eastAsia="仿宋_GB2312" w:cs="Times New Roman"/>
        </w:rPr>
      </w:pPr>
      <w:r>
        <w:rPr>
          <w:rFonts w:hint="eastAsia" w:ascii="仿宋_GB2312" w:hAnsi="宋体" w:eastAsia="仿宋_GB2312" w:cs="仿宋_GB2312"/>
        </w:rPr>
        <w:t>说明：</w:t>
      </w:r>
      <w:r>
        <w:rPr>
          <w:rFonts w:ascii="仿宋_GB2312" w:hAnsi="宋体" w:eastAsia="仿宋_GB2312" w:cs="仿宋_GB2312"/>
        </w:rPr>
        <w:t>1</w:t>
      </w:r>
      <w:r>
        <w:rPr>
          <w:rFonts w:hint="eastAsia" w:ascii="仿宋_GB2312" w:hAnsi="宋体" w:eastAsia="仿宋_GB2312" w:cs="仿宋_GB2312"/>
        </w:rPr>
        <w:t>、供应商提供的产品属于下列情形，应按第二章谈判须知第</w:t>
      </w:r>
      <w:r>
        <w:rPr>
          <w:rFonts w:ascii="仿宋_GB2312" w:hAnsi="宋体" w:eastAsia="仿宋_GB2312" w:cs="仿宋_GB2312"/>
        </w:rPr>
        <w:t>2.8</w:t>
      </w:r>
      <w:r>
        <w:rPr>
          <w:rFonts w:hint="eastAsia" w:ascii="仿宋_GB2312" w:hAnsi="宋体" w:eastAsia="仿宋_GB2312" w:cs="仿宋_GB2312"/>
        </w:rPr>
        <w:t>款、第</w:t>
      </w:r>
      <w:r>
        <w:rPr>
          <w:rFonts w:ascii="仿宋_GB2312" w:hAnsi="宋体" w:eastAsia="仿宋_GB2312" w:cs="仿宋_GB2312"/>
        </w:rPr>
        <w:t>9.2</w:t>
      </w:r>
      <w:r>
        <w:rPr>
          <w:rFonts w:hint="eastAsia" w:ascii="仿宋_GB2312" w:hAnsi="宋体" w:eastAsia="仿宋_GB2312" w:cs="仿宋_GB2312"/>
          <w:lang w:val="zh-CN"/>
        </w:rPr>
        <w:t>款</w:t>
      </w:r>
      <w:r>
        <w:rPr>
          <w:rFonts w:hint="eastAsia" w:ascii="仿宋_GB2312" w:hAnsi="宋体" w:eastAsia="仿宋_GB2312" w:cs="仿宋_GB2312"/>
        </w:rPr>
        <w:t>规定提供相关证明材料</w:t>
      </w:r>
      <w:r>
        <w:rPr>
          <w:rFonts w:ascii="仿宋_GB2312" w:hAnsi="宋体" w:eastAsia="仿宋_GB2312" w:cs="仿宋_GB2312"/>
        </w:rPr>
        <w:t>(</w:t>
      </w:r>
      <w:r>
        <w:rPr>
          <w:rFonts w:hint="eastAsia" w:ascii="仿宋_GB2312" w:hAnsi="宋体" w:eastAsia="仿宋_GB2312" w:cs="仿宋_GB2312"/>
        </w:rPr>
        <w:t>清单或目录所在页复印件</w:t>
      </w:r>
      <w:r>
        <w:rPr>
          <w:rFonts w:ascii="仿宋_GB2312" w:hAnsi="宋体" w:eastAsia="仿宋_GB2312" w:cs="仿宋_GB2312"/>
        </w:rPr>
        <w:t>)</w:t>
      </w:r>
      <w:r>
        <w:rPr>
          <w:rFonts w:hint="eastAsia" w:ascii="仿宋_GB2312" w:hAnsi="宋体" w:eastAsia="仿宋_GB2312" w:cs="仿宋_GB2312"/>
        </w:rPr>
        <w:t>，并在本章《七、报价一览表及报价文件》中提供相应数据。</w:t>
      </w:r>
    </w:p>
    <w:p>
      <w:pPr>
        <w:adjustRightInd w:val="0"/>
        <w:snapToGrid w:val="0"/>
        <w:spacing w:line="360" w:lineRule="auto"/>
        <w:ind w:firstLine="525" w:firstLineChars="250"/>
        <w:rPr>
          <w:rFonts w:ascii="仿宋_GB2312" w:hAnsi="宋体" w:eastAsia="仿宋_GB2312" w:cs="Times New Roman"/>
        </w:rPr>
      </w:pPr>
      <w:r>
        <w:rPr>
          <w:rFonts w:ascii="仿宋_GB2312" w:hAnsi="宋体" w:eastAsia="仿宋_GB2312" w:cs="仿宋_GB2312"/>
        </w:rPr>
        <w:t>(1)</w:t>
      </w:r>
      <w:r>
        <w:rPr>
          <w:rFonts w:hint="eastAsia" w:ascii="仿宋_GB2312" w:hAnsi="宋体" w:eastAsia="仿宋_GB2312" w:cs="仿宋_GB2312"/>
        </w:rPr>
        <w:t>符合政府采购强制采购政策的</w:t>
      </w:r>
      <w:r>
        <w:rPr>
          <w:rFonts w:ascii="仿宋_GB2312" w:hAnsi="宋体" w:eastAsia="仿宋_GB2312" w:cs="仿宋_GB2312"/>
        </w:rPr>
        <w:t>(</w:t>
      </w:r>
      <w:r>
        <w:rPr>
          <w:rFonts w:hint="eastAsia" w:ascii="仿宋_GB2312" w:hAnsi="宋体" w:eastAsia="仿宋_GB2312" w:cs="仿宋_GB2312"/>
        </w:rPr>
        <w:t>《节能产品政府采购清单》中标记★符号节能产品及其他强制采购产品</w:t>
      </w:r>
      <w:r>
        <w:rPr>
          <w:rFonts w:ascii="仿宋_GB2312" w:hAnsi="宋体" w:eastAsia="仿宋_GB2312" w:cs="仿宋_GB2312"/>
        </w:rPr>
        <w:t>)</w:t>
      </w:r>
      <w:r>
        <w:rPr>
          <w:rFonts w:hint="eastAsia" w:ascii="仿宋_GB2312" w:hAnsi="宋体" w:eastAsia="仿宋_GB2312" w:cs="仿宋_GB2312"/>
        </w:rPr>
        <w:t>；</w:t>
      </w:r>
    </w:p>
    <w:p>
      <w:pPr>
        <w:adjustRightInd w:val="0"/>
        <w:snapToGrid w:val="0"/>
        <w:spacing w:line="360" w:lineRule="auto"/>
        <w:ind w:firstLine="525" w:firstLineChars="250"/>
        <w:rPr>
          <w:rFonts w:ascii="仿宋_GB2312" w:hAnsi="宋体" w:eastAsia="仿宋_GB2312" w:cs="Times New Roman"/>
        </w:rPr>
      </w:pPr>
      <w:r>
        <w:rPr>
          <w:rFonts w:ascii="仿宋_GB2312" w:hAnsi="宋体" w:eastAsia="仿宋_GB2312" w:cs="仿宋_GB2312"/>
        </w:rPr>
        <w:t>(2)</w:t>
      </w:r>
      <w:r>
        <w:rPr>
          <w:rFonts w:hint="eastAsia" w:ascii="仿宋_GB2312" w:hAnsi="宋体" w:eastAsia="仿宋_GB2312" w:cs="仿宋_GB2312"/>
        </w:rPr>
        <w:t>符合政府采购优先采购政策的</w:t>
      </w:r>
      <w:r>
        <w:rPr>
          <w:rFonts w:ascii="仿宋_GB2312" w:hAnsi="宋体" w:eastAsia="仿宋_GB2312" w:cs="仿宋_GB2312"/>
        </w:rPr>
        <w:t>(</w:t>
      </w:r>
      <w:r>
        <w:rPr>
          <w:rFonts w:hint="eastAsia" w:ascii="仿宋_GB2312" w:hAnsi="宋体" w:eastAsia="仿宋_GB2312" w:cs="仿宋_GB2312"/>
        </w:rPr>
        <w:t>《节能产品政府采购清单》中非标记★符号节能产品，《环境标志产品政府采购清单》中环境标志产品，《湖南省两型产品政府采购目录》中两型产品</w:t>
      </w:r>
      <w:r>
        <w:rPr>
          <w:rFonts w:ascii="仿宋_GB2312" w:hAnsi="宋体" w:eastAsia="仿宋_GB2312" w:cs="仿宋_GB2312"/>
        </w:rPr>
        <w:t>)</w:t>
      </w:r>
      <w:r>
        <w:rPr>
          <w:rFonts w:hint="eastAsia" w:ascii="仿宋_GB2312" w:hAnsi="宋体" w:eastAsia="仿宋_GB2312" w:cs="仿宋_GB2312"/>
        </w:rPr>
        <w:t>。</w:t>
      </w:r>
    </w:p>
    <w:p>
      <w:pPr>
        <w:adjustRightInd w:val="0"/>
        <w:snapToGrid w:val="0"/>
        <w:spacing w:line="360" w:lineRule="auto"/>
        <w:ind w:firstLine="525" w:firstLineChars="250"/>
        <w:rPr>
          <w:rFonts w:ascii="仿宋_GB2312" w:hAnsi="宋体" w:eastAsia="仿宋_GB2312" w:cs="Times New Roman"/>
        </w:rPr>
      </w:pPr>
      <w:r>
        <w:rPr>
          <w:rFonts w:ascii="仿宋_GB2312" w:hAnsi="宋体" w:eastAsia="仿宋_GB2312" w:cs="仿宋_GB2312"/>
        </w:rPr>
        <w:t>2</w:t>
      </w:r>
      <w:r>
        <w:rPr>
          <w:rFonts w:hint="eastAsia" w:ascii="仿宋_GB2312" w:hAnsi="宋体" w:eastAsia="仿宋_GB2312" w:cs="仿宋_GB2312"/>
        </w:rPr>
        <w:t>、未按上述要求提供、填写的，评审时不予以考虑。</w:t>
      </w:r>
    </w:p>
    <w:p>
      <w:pPr>
        <w:spacing w:line="480" w:lineRule="exact"/>
        <w:rPr>
          <w:rFonts w:ascii="黑体" w:eastAsia="黑体" w:cs="Times New Roman"/>
          <w:sz w:val="24"/>
          <w:szCs w:val="24"/>
        </w:rPr>
      </w:pPr>
    </w:p>
    <w:p>
      <w:pPr>
        <w:spacing w:line="480" w:lineRule="exact"/>
        <w:rPr>
          <w:rFonts w:ascii="黑体" w:eastAsia="黑体" w:cs="Times New Roman"/>
          <w:sz w:val="24"/>
          <w:szCs w:val="24"/>
        </w:rPr>
      </w:pPr>
    </w:p>
    <w:p>
      <w:pPr>
        <w:adjustRightInd w:val="0"/>
        <w:snapToGrid w:val="0"/>
        <w:spacing w:before="50" w:line="360" w:lineRule="auto"/>
        <w:rPr>
          <w:rFonts w:ascii="宋体" w:cs="Times New Roman"/>
        </w:rPr>
      </w:pPr>
    </w:p>
    <w:p>
      <w:pPr>
        <w:adjustRightInd w:val="0"/>
        <w:snapToGrid w:val="0"/>
        <w:spacing w:before="50" w:line="360" w:lineRule="auto"/>
        <w:rPr>
          <w:rFonts w:ascii="宋体" w:cs="Times New Roman"/>
        </w:rPr>
      </w:pPr>
    </w:p>
    <w:p>
      <w:pPr>
        <w:adjustRightInd w:val="0"/>
        <w:snapToGrid w:val="0"/>
        <w:spacing w:before="50" w:line="360" w:lineRule="auto"/>
        <w:rPr>
          <w:rFonts w:ascii="宋体" w:cs="Times New Roman"/>
        </w:rPr>
      </w:pPr>
    </w:p>
    <w:p>
      <w:pPr>
        <w:adjustRightInd w:val="0"/>
        <w:snapToGrid w:val="0"/>
        <w:spacing w:line="360" w:lineRule="auto"/>
        <w:ind w:firstLine="422" w:firstLineChars="200"/>
        <w:rPr>
          <w:rFonts w:ascii="宋体" w:cs="Times New Roman"/>
          <w:b/>
          <w:bCs/>
        </w:rPr>
      </w:pPr>
    </w:p>
    <w:p>
      <w:pPr>
        <w:adjustRightInd w:val="0"/>
        <w:snapToGrid w:val="0"/>
        <w:spacing w:line="360" w:lineRule="auto"/>
        <w:ind w:firstLine="525" w:firstLineChars="250"/>
        <w:rPr>
          <w:rFonts w:ascii="仿宋_GB2312" w:hAnsi="宋体" w:eastAsia="仿宋_GB2312" w:cs="Times New Roman"/>
        </w:rPr>
      </w:pPr>
    </w:p>
    <w:p>
      <w:pPr>
        <w:ind w:firstLine="803"/>
        <w:jc w:val="center"/>
        <w:rPr>
          <w:rFonts w:ascii="黑体" w:hAnsi="宋体" w:eastAsia="黑体" w:cs="Times New Roman"/>
          <w:b/>
          <w:bCs/>
          <w:sz w:val="32"/>
          <w:szCs w:val="32"/>
        </w:rPr>
      </w:pPr>
      <w:r>
        <w:rPr>
          <w:rFonts w:ascii="仿宋_GB2312" w:hAnsi="宋体" w:eastAsia="仿宋_GB2312" w:cs="Times New Roman"/>
        </w:rPr>
        <w:br w:type="page"/>
      </w:r>
      <w:r>
        <w:rPr>
          <w:rFonts w:hint="eastAsia" w:ascii="黑体" w:eastAsia="黑体" w:cs="黑体"/>
          <w:b/>
          <w:bCs/>
          <w:sz w:val="32"/>
          <w:szCs w:val="32"/>
        </w:rPr>
        <w:t>七、</w:t>
      </w:r>
      <w:r>
        <w:rPr>
          <w:rFonts w:hint="eastAsia" w:ascii="黑体" w:hAnsi="宋体" w:eastAsia="黑体" w:cs="黑体"/>
          <w:b/>
          <w:bCs/>
          <w:sz w:val="32"/>
          <w:szCs w:val="32"/>
        </w:rPr>
        <w:t>报价一览表及报价文件</w:t>
      </w:r>
    </w:p>
    <w:p>
      <w:pPr>
        <w:adjustRightInd w:val="0"/>
        <w:snapToGrid w:val="0"/>
        <w:rPr>
          <w:rFonts w:ascii="黑体" w:hAnsi="宋体" w:eastAsia="黑体" w:cs="黑体"/>
          <w:sz w:val="32"/>
          <w:szCs w:val="32"/>
        </w:rPr>
      </w:pPr>
      <w:r>
        <w:rPr>
          <w:rFonts w:hint="eastAsia" w:ascii="黑体" w:hAnsi="宋体" w:eastAsia="黑体" w:cs="黑体"/>
          <w:sz w:val="32"/>
          <w:szCs w:val="32"/>
        </w:rPr>
        <w:t>附件9</w:t>
      </w:r>
    </w:p>
    <w:p>
      <w:pPr>
        <w:adjustRightInd w:val="0"/>
        <w:snapToGrid w:val="0"/>
        <w:jc w:val="center"/>
        <w:rPr>
          <w:rFonts w:ascii="黑体" w:hAnsi="宋体" w:eastAsia="黑体" w:cs="Times New Roman"/>
          <w:b/>
          <w:bCs/>
          <w:sz w:val="32"/>
          <w:szCs w:val="32"/>
        </w:rPr>
      </w:pPr>
    </w:p>
    <w:p>
      <w:pPr>
        <w:adjustRightInd w:val="0"/>
        <w:snapToGrid w:val="0"/>
        <w:jc w:val="center"/>
        <w:rPr>
          <w:rFonts w:ascii="?????_GBK" w:hAnsi="宋体" w:eastAsia="Times New Roman" w:cs="Times New Roman"/>
          <w:sz w:val="36"/>
          <w:szCs w:val="36"/>
        </w:rPr>
      </w:pPr>
      <w:r>
        <w:rPr>
          <w:rFonts w:hint="eastAsia" w:ascii="黑体" w:hAnsi="宋体" w:eastAsia="黑体" w:cs="黑体"/>
          <w:b/>
          <w:bCs/>
          <w:sz w:val="32"/>
          <w:szCs w:val="32"/>
        </w:rPr>
        <w:t>报价一览表（货物类适用）</w:t>
      </w:r>
    </w:p>
    <w:p>
      <w:pPr>
        <w:adjustRightInd w:val="0"/>
        <w:snapToGrid w:val="0"/>
        <w:rPr>
          <w:rFonts w:ascii="黑体" w:hAnsi="宋体" w:eastAsia="黑体" w:cs="Times New Roman"/>
          <w:sz w:val="24"/>
          <w:szCs w:val="24"/>
        </w:rPr>
      </w:pPr>
    </w:p>
    <w:tbl>
      <w:tblPr>
        <w:tblStyle w:val="13"/>
        <w:tblW w:w="8820" w:type="dxa"/>
        <w:tblInd w:w="-106"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492"/>
        <w:gridCol w:w="2047"/>
        <w:gridCol w:w="3041"/>
        <w:gridCol w:w="1669"/>
        <w:gridCol w:w="1571"/>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cantSplit/>
          <w:trHeight w:val="420" w:hRule="atLeast"/>
        </w:trPr>
        <w:tc>
          <w:tcPr>
            <w:tcW w:w="492" w:type="dxa"/>
            <w:vMerge w:val="restart"/>
            <w:tcBorders>
              <w:top w:val="double" w:color="auto" w:sz="4" w:space="0"/>
              <w:left w:val="double" w:color="auto" w:sz="4" w:space="0"/>
              <w:bottom w:val="single" w:color="auto" w:sz="6" w:space="0"/>
              <w:right w:val="single" w:color="auto" w:sz="6" w:space="0"/>
            </w:tcBorders>
            <w:vAlign w:val="center"/>
          </w:tcPr>
          <w:p>
            <w:pPr>
              <w:widowControl/>
              <w:jc w:val="center"/>
              <w:rPr>
                <w:rFonts w:ascii="宋体" w:cs="Times New Roman"/>
              </w:rPr>
            </w:pPr>
            <w:r>
              <w:rPr>
                <w:rFonts w:hint="eastAsia" w:ascii="宋体" w:hAnsi="宋体" w:cs="宋体"/>
              </w:rPr>
              <w:t>序号</w:t>
            </w:r>
          </w:p>
        </w:tc>
        <w:tc>
          <w:tcPr>
            <w:tcW w:w="2047" w:type="dxa"/>
            <w:vMerge w:val="restart"/>
            <w:tcBorders>
              <w:top w:val="double" w:color="auto" w:sz="4" w:space="0"/>
              <w:left w:val="single" w:color="auto" w:sz="6" w:space="0"/>
              <w:bottom w:val="single" w:color="auto" w:sz="6" w:space="0"/>
              <w:right w:val="single" w:color="auto" w:sz="6" w:space="0"/>
            </w:tcBorders>
            <w:vAlign w:val="center"/>
          </w:tcPr>
          <w:p>
            <w:pPr>
              <w:ind w:left="-88" w:leftChars="-42"/>
              <w:jc w:val="center"/>
              <w:rPr>
                <w:rFonts w:ascii="宋体" w:cs="Times New Roman"/>
              </w:rPr>
            </w:pPr>
            <w:r>
              <w:rPr>
                <w:rFonts w:hint="eastAsia" w:ascii="宋体" w:hAnsi="宋体" w:cs="宋体"/>
              </w:rPr>
              <w:t>项目名称</w:t>
            </w:r>
          </w:p>
        </w:tc>
        <w:tc>
          <w:tcPr>
            <w:tcW w:w="3041" w:type="dxa"/>
            <w:vMerge w:val="restart"/>
            <w:tcBorders>
              <w:top w:val="double" w:color="auto" w:sz="4" w:space="0"/>
              <w:left w:val="single" w:color="auto" w:sz="6" w:space="0"/>
              <w:bottom w:val="single" w:color="auto" w:sz="6" w:space="0"/>
              <w:right w:val="single" w:color="auto" w:sz="6" w:space="0"/>
            </w:tcBorders>
            <w:vAlign w:val="center"/>
          </w:tcPr>
          <w:p>
            <w:pPr>
              <w:widowControl/>
              <w:ind w:left="-88" w:leftChars="-42"/>
              <w:jc w:val="center"/>
              <w:rPr>
                <w:rFonts w:ascii="宋体" w:cs="Times New Roman"/>
              </w:rPr>
            </w:pPr>
          </w:p>
        </w:tc>
        <w:tc>
          <w:tcPr>
            <w:tcW w:w="1669" w:type="dxa"/>
            <w:tcBorders>
              <w:top w:val="double" w:color="auto" w:sz="4" w:space="0"/>
              <w:left w:val="single" w:color="auto" w:sz="6" w:space="0"/>
              <w:bottom w:val="single" w:color="auto" w:sz="6" w:space="0"/>
              <w:right w:val="single" w:color="auto" w:sz="6" w:space="0"/>
            </w:tcBorders>
            <w:vAlign w:val="center"/>
          </w:tcPr>
          <w:p>
            <w:pPr>
              <w:widowControl/>
              <w:ind w:left="-88" w:leftChars="-42"/>
              <w:jc w:val="center"/>
              <w:rPr>
                <w:rFonts w:ascii="宋体" w:cs="Times New Roman"/>
              </w:rPr>
            </w:pPr>
            <w:r>
              <w:rPr>
                <w:rFonts w:hint="eastAsia" w:ascii="宋体" w:hAnsi="宋体" w:cs="宋体"/>
              </w:rPr>
              <w:t>政府采购编号</w:t>
            </w:r>
          </w:p>
        </w:tc>
        <w:tc>
          <w:tcPr>
            <w:tcW w:w="1571" w:type="dxa"/>
            <w:tcBorders>
              <w:top w:val="double" w:color="auto" w:sz="4" w:space="0"/>
              <w:left w:val="single" w:color="auto" w:sz="6" w:space="0"/>
              <w:bottom w:val="single" w:color="auto" w:sz="6" w:space="0"/>
              <w:right w:val="double" w:color="auto" w:sz="4" w:space="0"/>
            </w:tcBorders>
            <w:vAlign w:val="center"/>
          </w:tcPr>
          <w:p>
            <w:pPr>
              <w:widowControl/>
              <w:ind w:left="-88" w:leftChars="-42"/>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cantSplit/>
          <w:trHeight w:val="420" w:hRule="atLeast"/>
        </w:trPr>
        <w:tc>
          <w:tcPr>
            <w:tcW w:w="492" w:type="dxa"/>
            <w:vMerge w:val="continue"/>
            <w:tcBorders>
              <w:top w:val="single" w:color="auto" w:sz="6" w:space="0"/>
              <w:left w:val="double" w:color="auto" w:sz="4" w:space="0"/>
              <w:bottom w:val="single" w:color="auto" w:sz="6" w:space="0"/>
              <w:right w:val="single" w:color="auto" w:sz="6" w:space="0"/>
            </w:tcBorders>
            <w:vAlign w:val="center"/>
          </w:tcPr>
          <w:p>
            <w:pPr>
              <w:widowControl/>
              <w:ind w:left="-88" w:leftChars="-42"/>
              <w:jc w:val="center"/>
              <w:rPr>
                <w:rFonts w:ascii="宋体" w:cs="Times New Roman"/>
              </w:rPr>
            </w:pPr>
          </w:p>
        </w:tc>
        <w:tc>
          <w:tcPr>
            <w:tcW w:w="2047" w:type="dxa"/>
            <w:vMerge w:val="continue"/>
            <w:tcBorders>
              <w:top w:val="single" w:color="auto" w:sz="6" w:space="0"/>
              <w:left w:val="single" w:color="auto" w:sz="6" w:space="0"/>
              <w:bottom w:val="single" w:color="auto" w:sz="6" w:space="0"/>
              <w:right w:val="single" w:color="auto" w:sz="6" w:space="0"/>
            </w:tcBorders>
            <w:vAlign w:val="center"/>
          </w:tcPr>
          <w:p>
            <w:pPr>
              <w:widowControl/>
              <w:ind w:left="-88" w:leftChars="-42"/>
              <w:jc w:val="center"/>
              <w:rPr>
                <w:rFonts w:ascii="宋体" w:cs="Times New Roman"/>
              </w:rPr>
            </w:pPr>
          </w:p>
        </w:tc>
        <w:tc>
          <w:tcPr>
            <w:tcW w:w="3041" w:type="dxa"/>
            <w:vMerge w:val="continue"/>
            <w:tcBorders>
              <w:top w:val="single" w:color="auto" w:sz="6" w:space="0"/>
              <w:left w:val="single" w:color="auto" w:sz="6" w:space="0"/>
              <w:bottom w:val="single" w:color="auto" w:sz="6" w:space="0"/>
              <w:right w:val="single" w:color="auto" w:sz="6" w:space="0"/>
            </w:tcBorders>
            <w:vAlign w:val="center"/>
          </w:tcPr>
          <w:p>
            <w:pPr>
              <w:widowControl/>
              <w:ind w:left="-88" w:leftChars="-42"/>
              <w:jc w:val="center"/>
              <w:rPr>
                <w:rFonts w:ascii="宋体" w:cs="Times New Roman"/>
              </w:rPr>
            </w:pPr>
          </w:p>
        </w:tc>
        <w:tc>
          <w:tcPr>
            <w:tcW w:w="1669" w:type="dxa"/>
            <w:tcBorders>
              <w:top w:val="single" w:color="auto" w:sz="6" w:space="0"/>
              <w:left w:val="single" w:color="auto" w:sz="6" w:space="0"/>
              <w:bottom w:val="single" w:color="auto" w:sz="6" w:space="0"/>
              <w:right w:val="single" w:color="auto" w:sz="6" w:space="0"/>
            </w:tcBorders>
            <w:vAlign w:val="center"/>
          </w:tcPr>
          <w:p>
            <w:pPr>
              <w:widowControl/>
              <w:ind w:left="-88" w:leftChars="-42"/>
              <w:jc w:val="center"/>
              <w:rPr>
                <w:rFonts w:ascii="宋体" w:cs="Times New Roman"/>
              </w:rPr>
            </w:pPr>
            <w:r>
              <w:rPr>
                <w:rFonts w:hint="eastAsia" w:ascii="宋体" w:hAnsi="宋体" w:cs="宋体"/>
              </w:rPr>
              <w:t>采购代理编号</w:t>
            </w:r>
          </w:p>
        </w:tc>
        <w:tc>
          <w:tcPr>
            <w:tcW w:w="1571" w:type="dxa"/>
            <w:tcBorders>
              <w:top w:val="single" w:color="auto" w:sz="6" w:space="0"/>
              <w:left w:val="single" w:color="auto" w:sz="6" w:space="0"/>
              <w:bottom w:val="single" w:color="auto" w:sz="6" w:space="0"/>
              <w:right w:val="double" w:color="auto" w:sz="4" w:space="0"/>
            </w:tcBorders>
            <w:vAlign w:val="center"/>
          </w:tcPr>
          <w:p>
            <w:pPr>
              <w:widowControl/>
              <w:ind w:left="-88" w:leftChars="-42"/>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tcPr>
          <w:p>
            <w:pPr>
              <w:adjustRightInd w:val="0"/>
              <w:snapToGrid w:val="0"/>
              <w:jc w:val="center"/>
              <w:rPr>
                <w:rFonts w:ascii="宋体" w:cs="Times New Roman"/>
              </w:rPr>
            </w:pPr>
            <w:r>
              <w:rPr>
                <w:rFonts w:ascii="宋体" w:hAnsi="宋体" w:cs="宋体"/>
              </w:rPr>
              <w:t>1</w:t>
            </w:r>
          </w:p>
        </w:tc>
        <w:tc>
          <w:tcPr>
            <w:tcW w:w="2047" w:type="dxa"/>
            <w:tcBorders>
              <w:top w:val="single" w:color="auto" w:sz="6" w:space="0"/>
              <w:left w:val="single" w:color="auto" w:sz="6" w:space="0"/>
              <w:bottom w:val="single" w:color="auto" w:sz="6" w:space="0"/>
              <w:right w:val="single" w:color="auto" w:sz="6" w:space="0"/>
            </w:tcBorders>
          </w:tcPr>
          <w:p>
            <w:pPr>
              <w:adjustRightInd w:val="0"/>
              <w:snapToGrid w:val="0"/>
              <w:ind w:left="-88" w:leftChars="-42"/>
              <w:jc w:val="center"/>
              <w:rPr>
                <w:rFonts w:ascii="宋体" w:cs="Times New Roman"/>
              </w:rPr>
            </w:pPr>
            <w:r>
              <w:rPr>
                <w:rFonts w:hint="eastAsia" w:ascii="宋体" w:hAnsi="宋体" w:cs="宋体"/>
              </w:rPr>
              <w:t>合同包号</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tcPr>
          <w:p>
            <w:pPr>
              <w:adjustRightInd w:val="0"/>
              <w:snapToGrid w:val="0"/>
              <w:jc w:val="center"/>
              <w:rPr>
                <w:rFonts w:ascii="宋体" w:cs="Times New Roman"/>
              </w:rPr>
            </w:pPr>
            <w:r>
              <w:rPr>
                <w:rFonts w:ascii="宋体" w:hAnsi="宋体" w:cs="宋体"/>
              </w:rPr>
              <w:t>2</w:t>
            </w:r>
          </w:p>
        </w:tc>
        <w:tc>
          <w:tcPr>
            <w:tcW w:w="2047" w:type="dxa"/>
            <w:tcBorders>
              <w:top w:val="single" w:color="auto" w:sz="6" w:space="0"/>
              <w:left w:val="single" w:color="auto" w:sz="6" w:space="0"/>
              <w:bottom w:val="single" w:color="auto" w:sz="6" w:space="0"/>
              <w:right w:val="single" w:color="auto" w:sz="6" w:space="0"/>
            </w:tcBorders>
          </w:tcPr>
          <w:p>
            <w:pPr>
              <w:adjustRightInd w:val="0"/>
              <w:snapToGrid w:val="0"/>
              <w:ind w:left="-88" w:leftChars="-42"/>
              <w:jc w:val="center"/>
              <w:rPr>
                <w:rFonts w:ascii="宋体" w:cs="Times New Roman"/>
              </w:rPr>
            </w:pPr>
            <w:r>
              <w:rPr>
                <w:rFonts w:hint="eastAsia" w:ascii="宋体" w:hAnsi="宋体" w:cs="宋体"/>
              </w:rPr>
              <w:t>货物名称</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tcPr>
          <w:p>
            <w:pPr>
              <w:adjustRightInd w:val="0"/>
              <w:snapToGrid w:val="0"/>
              <w:jc w:val="center"/>
              <w:rPr>
                <w:rFonts w:ascii="宋体" w:cs="Times New Roman"/>
              </w:rPr>
            </w:pPr>
            <w:r>
              <w:rPr>
                <w:rFonts w:ascii="宋体" w:hAnsi="宋体" w:cs="宋体"/>
              </w:rPr>
              <w:t>3</w:t>
            </w:r>
          </w:p>
        </w:tc>
        <w:tc>
          <w:tcPr>
            <w:tcW w:w="2047" w:type="dxa"/>
            <w:tcBorders>
              <w:top w:val="single" w:color="auto" w:sz="6" w:space="0"/>
              <w:left w:val="single" w:color="auto" w:sz="6" w:space="0"/>
              <w:bottom w:val="single" w:color="auto" w:sz="6" w:space="0"/>
              <w:right w:val="single" w:color="auto" w:sz="6" w:space="0"/>
            </w:tcBorders>
          </w:tcPr>
          <w:p>
            <w:pPr>
              <w:adjustRightInd w:val="0"/>
              <w:snapToGrid w:val="0"/>
              <w:ind w:left="-88" w:leftChars="-42"/>
              <w:jc w:val="center"/>
              <w:rPr>
                <w:rFonts w:ascii="宋体" w:cs="Times New Roman"/>
              </w:rPr>
            </w:pPr>
            <w:r>
              <w:rPr>
                <w:rFonts w:hint="eastAsia" w:ascii="宋体" w:hAnsi="宋体" w:cs="宋体"/>
              </w:rPr>
              <w:t>品目代码</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tcPr>
          <w:p>
            <w:pPr>
              <w:adjustRightInd w:val="0"/>
              <w:snapToGrid w:val="0"/>
              <w:jc w:val="center"/>
              <w:rPr>
                <w:rFonts w:ascii="宋体" w:cs="Times New Roman"/>
              </w:rPr>
            </w:pPr>
            <w:r>
              <w:rPr>
                <w:rFonts w:ascii="宋体" w:hAnsi="宋体" w:cs="宋体"/>
              </w:rPr>
              <w:t>4</w:t>
            </w:r>
          </w:p>
        </w:tc>
        <w:tc>
          <w:tcPr>
            <w:tcW w:w="2047" w:type="dxa"/>
            <w:tcBorders>
              <w:top w:val="single" w:color="auto" w:sz="6" w:space="0"/>
              <w:left w:val="single" w:color="auto" w:sz="6" w:space="0"/>
              <w:bottom w:val="single" w:color="auto" w:sz="6" w:space="0"/>
              <w:right w:val="single" w:color="auto" w:sz="6" w:space="0"/>
            </w:tcBorders>
          </w:tcPr>
          <w:p>
            <w:pPr>
              <w:adjustRightInd w:val="0"/>
              <w:snapToGrid w:val="0"/>
              <w:ind w:left="-88" w:leftChars="-42"/>
              <w:jc w:val="center"/>
              <w:rPr>
                <w:rFonts w:ascii="宋体" w:cs="Times New Roman"/>
              </w:rPr>
            </w:pPr>
            <w:r>
              <w:rPr>
                <w:rFonts w:hint="eastAsia" w:ascii="宋体" w:hAnsi="宋体" w:cs="宋体"/>
              </w:rPr>
              <w:t>规格型号</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tcPr>
          <w:p>
            <w:pPr>
              <w:adjustRightInd w:val="0"/>
              <w:snapToGrid w:val="0"/>
              <w:jc w:val="center"/>
              <w:rPr>
                <w:rFonts w:ascii="宋体" w:cs="Times New Roman"/>
              </w:rPr>
            </w:pPr>
            <w:r>
              <w:rPr>
                <w:rFonts w:ascii="宋体" w:hAnsi="宋体" w:cs="宋体"/>
              </w:rPr>
              <w:t>5</w:t>
            </w:r>
          </w:p>
        </w:tc>
        <w:tc>
          <w:tcPr>
            <w:tcW w:w="2047" w:type="dxa"/>
            <w:tcBorders>
              <w:top w:val="single" w:color="auto" w:sz="6" w:space="0"/>
              <w:left w:val="single" w:color="auto" w:sz="6" w:space="0"/>
              <w:bottom w:val="single" w:color="auto" w:sz="6" w:space="0"/>
              <w:right w:val="single" w:color="auto" w:sz="6" w:space="0"/>
            </w:tcBorders>
          </w:tcPr>
          <w:p>
            <w:pPr>
              <w:adjustRightInd w:val="0"/>
              <w:snapToGrid w:val="0"/>
              <w:ind w:left="-88" w:leftChars="-42"/>
              <w:jc w:val="center"/>
              <w:rPr>
                <w:rFonts w:ascii="宋体" w:cs="Times New Roman"/>
              </w:rPr>
            </w:pPr>
            <w:r>
              <w:rPr>
                <w:rFonts w:hint="eastAsia" w:ascii="宋体" w:hAnsi="宋体" w:cs="宋体"/>
              </w:rPr>
              <w:t>品牌和生产厂家</w:t>
            </w:r>
          </w:p>
        </w:tc>
        <w:tc>
          <w:tcPr>
            <w:tcW w:w="6281" w:type="dxa"/>
            <w:gridSpan w:val="3"/>
            <w:tcBorders>
              <w:top w:val="single" w:color="auto" w:sz="6" w:space="0"/>
              <w:left w:val="single" w:color="auto" w:sz="6" w:space="0"/>
              <w:bottom w:val="single" w:color="auto" w:sz="6" w:space="0"/>
              <w:right w:val="double" w:color="auto" w:sz="4" w:space="0"/>
            </w:tcBorders>
            <w:vAlign w:val="center"/>
          </w:tcPr>
          <w:p>
            <w:pPr>
              <w:adjustRightInd w:val="0"/>
              <w:snapToGrid w:val="0"/>
              <w:ind w:left="-88" w:leftChars="-42"/>
              <w:rPr>
                <w:rFonts w:ascii="宋体" w:cs="Times New Roman"/>
              </w:rPr>
            </w:pPr>
            <w:r>
              <w:rPr>
                <w:rFonts w:hint="eastAsia" w:ascii="宋体" w:hAnsi="宋体" w:cs="宋体"/>
              </w:rPr>
              <w:t>品牌：</w:t>
            </w:r>
            <w:r>
              <w:rPr>
                <w:rFonts w:hint="eastAsia" w:ascii="宋体" w:hAnsi="宋体" w:cs="宋体"/>
                <w:u w:val="single"/>
              </w:rPr>
              <w:t xml:space="preserve">       </w:t>
            </w:r>
            <w:r>
              <w:rPr>
                <w:rFonts w:hint="eastAsia" w:ascii="宋体" w:hAnsi="宋体" w:cs="宋体"/>
              </w:rPr>
              <w:t>，生产厂家</w:t>
            </w:r>
            <w:r>
              <w:rPr>
                <w:rFonts w:hint="eastAsia" w:ascii="宋体" w:hAnsi="宋体" w:cs="宋体"/>
                <w:u w:val="single"/>
              </w:rPr>
              <w:t xml:space="preserve">       </w:t>
            </w:r>
            <w:r>
              <w:rPr>
                <w:rFonts w:ascii="宋体" w:hAnsi="宋体" w:cs="宋体"/>
              </w:rPr>
              <w:t>(</w:t>
            </w:r>
            <w:r>
              <w:rPr>
                <w:rFonts w:hint="eastAsia" w:ascii="宋体" w:hAnsi="宋体" w:cs="宋体"/>
              </w:rPr>
              <w:t>组织机构代码：</w:t>
            </w:r>
            <w:r>
              <w:rPr>
                <w:rFonts w:hint="eastAsia" w:ascii="宋体" w:hAnsi="宋体" w:cs="宋体"/>
                <w:u w:val="single"/>
              </w:rPr>
              <w:t xml:space="preserve">      </w:t>
            </w:r>
            <w:r>
              <w:rPr>
                <w:rFonts w:ascii="宋体" w:hAnsi="宋体" w:cs="宋体"/>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tcPr>
          <w:p>
            <w:pPr>
              <w:adjustRightInd w:val="0"/>
              <w:snapToGrid w:val="0"/>
              <w:jc w:val="center"/>
              <w:rPr>
                <w:rFonts w:ascii="宋体" w:cs="Times New Roman"/>
              </w:rPr>
            </w:pPr>
            <w:r>
              <w:rPr>
                <w:rFonts w:ascii="宋体" w:hAnsi="宋体" w:cs="宋体"/>
              </w:rPr>
              <w:t>6</w:t>
            </w:r>
          </w:p>
        </w:tc>
        <w:tc>
          <w:tcPr>
            <w:tcW w:w="2047" w:type="dxa"/>
            <w:tcBorders>
              <w:top w:val="single" w:color="auto" w:sz="6" w:space="0"/>
              <w:left w:val="single" w:color="auto" w:sz="6" w:space="0"/>
              <w:bottom w:val="single" w:color="auto" w:sz="6" w:space="0"/>
              <w:right w:val="single" w:color="auto" w:sz="6" w:space="0"/>
            </w:tcBorders>
          </w:tcPr>
          <w:p>
            <w:pPr>
              <w:adjustRightInd w:val="0"/>
              <w:snapToGrid w:val="0"/>
              <w:ind w:left="-88" w:leftChars="-42"/>
              <w:jc w:val="center"/>
              <w:rPr>
                <w:rFonts w:ascii="宋体" w:cs="Times New Roman"/>
              </w:rPr>
            </w:pPr>
            <w:r>
              <w:rPr>
                <w:rFonts w:hint="eastAsia" w:ascii="宋体" w:hAnsi="宋体" w:cs="宋体"/>
              </w:rPr>
              <w:t>服务要求</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tcPr>
          <w:p>
            <w:pPr>
              <w:adjustRightInd w:val="0"/>
              <w:snapToGrid w:val="0"/>
              <w:jc w:val="center"/>
              <w:rPr>
                <w:rFonts w:ascii="宋体" w:cs="Times New Roman"/>
              </w:rPr>
            </w:pPr>
            <w:r>
              <w:rPr>
                <w:rFonts w:ascii="宋体" w:hAnsi="宋体" w:cs="宋体"/>
              </w:rPr>
              <w:t>7</w:t>
            </w:r>
          </w:p>
        </w:tc>
        <w:tc>
          <w:tcPr>
            <w:tcW w:w="2047" w:type="dxa"/>
            <w:tcBorders>
              <w:top w:val="single" w:color="auto" w:sz="6" w:space="0"/>
              <w:left w:val="single" w:color="auto" w:sz="6" w:space="0"/>
              <w:bottom w:val="single" w:color="auto" w:sz="6" w:space="0"/>
              <w:right w:val="single" w:color="auto" w:sz="6" w:space="0"/>
            </w:tcBorders>
          </w:tcPr>
          <w:p>
            <w:pPr>
              <w:adjustRightInd w:val="0"/>
              <w:snapToGrid w:val="0"/>
              <w:ind w:left="-88" w:leftChars="-42"/>
              <w:jc w:val="center"/>
              <w:rPr>
                <w:rFonts w:ascii="宋体" w:cs="Times New Roman"/>
              </w:rPr>
            </w:pPr>
            <w:r>
              <w:rPr>
                <w:rFonts w:hint="eastAsia" w:ascii="宋体" w:hAnsi="宋体" w:cs="宋体"/>
              </w:rPr>
              <w:t>数量</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jc w:val="center"/>
              <w:rPr>
                <w:rFonts w:ascii="宋体" w:cs="Times New Roman"/>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vAlign w:val="center"/>
          </w:tcPr>
          <w:p>
            <w:pPr>
              <w:adjustRightInd w:val="0"/>
              <w:snapToGrid w:val="0"/>
              <w:jc w:val="center"/>
              <w:rPr>
                <w:rFonts w:ascii="宋体" w:cs="Times New Roman"/>
              </w:rPr>
            </w:pPr>
            <w:r>
              <w:rPr>
                <w:rFonts w:ascii="宋体" w:hAnsi="宋体" w:cs="宋体"/>
              </w:rPr>
              <w:t>8</w:t>
            </w:r>
          </w:p>
        </w:tc>
        <w:tc>
          <w:tcPr>
            <w:tcW w:w="2047" w:type="dxa"/>
            <w:tcBorders>
              <w:top w:val="single" w:color="auto" w:sz="6" w:space="0"/>
              <w:left w:val="single" w:color="auto" w:sz="6" w:space="0"/>
              <w:bottom w:val="single" w:color="auto" w:sz="6" w:space="0"/>
              <w:right w:val="single" w:color="auto" w:sz="6" w:space="0"/>
            </w:tcBorders>
            <w:vAlign w:val="center"/>
          </w:tcPr>
          <w:p>
            <w:pPr>
              <w:adjustRightInd w:val="0"/>
              <w:snapToGrid w:val="0"/>
              <w:ind w:left="-88" w:leftChars="-42"/>
              <w:jc w:val="center"/>
              <w:rPr>
                <w:rFonts w:ascii="宋体" w:cs="Times New Roman"/>
              </w:rPr>
            </w:pPr>
            <w:r>
              <w:rPr>
                <w:rFonts w:hint="eastAsia" w:ascii="宋体" w:hAnsi="宋体" w:cs="宋体"/>
              </w:rPr>
              <w:t>单价</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firstLine="105" w:firstLineChars="50"/>
              <w:rPr>
                <w:rFonts w:ascii="宋体" w:cs="Times New Roman"/>
                <w:b/>
                <w:bCs/>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single" w:color="auto" w:sz="6" w:space="0"/>
              <w:right w:val="single" w:color="auto" w:sz="6" w:space="0"/>
            </w:tcBorders>
            <w:vAlign w:val="center"/>
          </w:tcPr>
          <w:p>
            <w:pPr>
              <w:adjustRightInd w:val="0"/>
              <w:snapToGrid w:val="0"/>
              <w:jc w:val="center"/>
              <w:rPr>
                <w:rFonts w:ascii="宋体" w:cs="Times New Roman"/>
              </w:rPr>
            </w:pPr>
            <w:r>
              <w:rPr>
                <w:rFonts w:ascii="宋体" w:hAnsi="宋体" w:cs="宋体"/>
              </w:rPr>
              <w:t>9</w:t>
            </w:r>
          </w:p>
        </w:tc>
        <w:tc>
          <w:tcPr>
            <w:tcW w:w="2047" w:type="dxa"/>
            <w:tcBorders>
              <w:top w:val="single" w:color="auto" w:sz="6" w:space="0"/>
              <w:left w:val="single" w:color="auto" w:sz="6" w:space="0"/>
              <w:bottom w:val="single" w:color="auto" w:sz="6" w:space="0"/>
              <w:right w:val="single" w:color="auto" w:sz="6" w:space="0"/>
            </w:tcBorders>
            <w:vAlign w:val="center"/>
          </w:tcPr>
          <w:p>
            <w:pPr>
              <w:adjustRightInd w:val="0"/>
              <w:snapToGrid w:val="0"/>
              <w:ind w:left="-88" w:leftChars="-42"/>
              <w:jc w:val="center"/>
              <w:rPr>
                <w:rFonts w:ascii="宋体" w:cs="Times New Roman"/>
                <w:bCs/>
              </w:rPr>
            </w:pPr>
            <w:r>
              <w:rPr>
                <w:rFonts w:hint="eastAsia" w:ascii="宋体" w:hAnsi="宋体" w:cs="宋体"/>
                <w:bCs/>
              </w:rPr>
              <w:t>总报价人民币</w:t>
            </w:r>
          </w:p>
        </w:tc>
        <w:tc>
          <w:tcPr>
            <w:tcW w:w="6281" w:type="dxa"/>
            <w:gridSpan w:val="3"/>
            <w:tcBorders>
              <w:top w:val="single" w:color="auto" w:sz="6" w:space="0"/>
              <w:left w:val="single" w:color="auto" w:sz="6" w:space="0"/>
              <w:bottom w:val="single" w:color="auto" w:sz="6" w:space="0"/>
              <w:right w:val="double" w:color="auto" w:sz="4" w:space="0"/>
            </w:tcBorders>
          </w:tcPr>
          <w:p>
            <w:pPr>
              <w:adjustRightInd w:val="0"/>
              <w:snapToGrid w:val="0"/>
              <w:ind w:left="-88" w:leftChars="-42" w:firstLine="105" w:firstLineChars="50"/>
              <w:rPr>
                <w:rFonts w:ascii="宋体" w:cs="Times New Roman"/>
                <w:bCs/>
              </w:rPr>
            </w:pPr>
            <w:r>
              <w:rPr>
                <w:rFonts w:hint="eastAsia" w:ascii="宋体" w:hAnsi="宋体" w:cs="宋体"/>
                <w:bCs/>
              </w:rPr>
              <w:t>大写：</w:t>
            </w:r>
            <w:r>
              <w:rPr>
                <w:rFonts w:hint="eastAsia" w:ascii="宋体" w:hAnsi="宋体" w:cs="宋体"/>
                <w:bCs/>
                <w:u w:val="single"/>
              </w:rPr>
              <w:t xml:space="preserve">                </w:t>
            </w:r>
            <w:r>
              <w:rPr>
                <w:rFonts w:hint="eastAsia" w:ascii="宋体" w:hAnsi="宋体" w:cs="宋体"/>
                <w:bCs/>
              </w:rPr>
              <w:t>元人民币整</w:t>
            </w:r>
          </w:p>
          <w:p>
            <w:pPr>
              <w:adjustRightInd w:val="0"/>
              <w:snapToGrid w:val="0"/>
              <w:ind w:left="-88" w:leftChars="-42" w:firstLine="105" w:firstLineChars="50"/>
              <w:rPr>
                <w:rFonts w:ascii="宋体" w:cs="Times New Roman"/>
                <w:bCs/>
              </w:rPr>
            </w:pPr>
            <w:r>
              <w:rPr>
                <w:rFonts w:hint="eastAsia" w:ascii="宋体" w:hAnsi="宋体" w:cs="宋体"/>
                <w:bCs/>
              </w:rPr>
              <w:t>小写：</w:t>
            </w:r>
            <w:r>
              <w:rPr>
                <w:rFonts w:hint="eastAsia" w:ascii="宋体" w:hAnsi="宋体" w:cs="宋体"/>
                <w:bCs/>
                <w:u w:val="single"/>
              </w:rPr>
              <w:t xml:space="preserve">                </w:t>
            </w:r>
            <w:r>
              <w:rPr>
                <w:rFonts w:hint="eastAsia" w:ascii="宋体" w:hAnsi="宋体" w:cs="宋体"/>
                <w:bCs/>
              </w:rPr>
              <w:t>元人民币整</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492" w:type="dxa"/>
            <w:tcBorders>
              <w:top w:val="single" w:color="auto" w:sz="6" w:space="0"/>
              <w:left w:val="double" w:color="auto" w:sz="4" w:space="0"/>
              <w:bottom w:val="double" w:color="auto" w:sz="4" w:space="0"/>
              <w:right w:val="single" w:color="auto" w:sz="6" w:space="0"/>
            </w:tcBorders>
            <w:vAlign w:val="center"/>
          </w:tcPr>
          <w:p>
            <w:pPr>
              <w:adjustRightInd w:val="0"/>
              <w:snapToGrid w:val="0"/>
              <w:jc w:val="center"/>
              <w:rPr>
                <w:rFonts w:ascii="宋体" w:cs="Times New Roman"/>
              </w:rPr>
            </w:pPr>
            <w:r>
              <w:rPr>
                <w:rFonts w:ascii="宋体" w:hAnsi="宋体" w:cs="宋体"/>
              </w:rPr>
              <w:t>10</w:t>
            </w:r>
          </w:p>
        </w:tc>
        <w:tc>
          <w:tcPr>
            <w:tcW w:w="2047" w:type="dxa"/>
            <w:tcBorders>
              <w:top w:val="single" w:color="auto" w:sz="6" w:space="0"/>
              <w:left w:val="single" w:color="auto" w:sz="6" w:space="0"/>
              <w:bottom w:val="double" w:color="auto" w:sz="4" w:space="0"/>
              <w:right w:val="single" w:color="auto" w:sz="6" w:space="0"/>
            </w:tcBorders>
            <w:vAlign w:val="center"/>
          </w:tcPr>
          <w:p>
            <w:pPr>
              <w:adjustRightInd w:val="0"/>
              <w:snapToGrid w:val="0"/>
              <w:ind w:left="-88" w:leftChars="-42"/>
              <w:jc w:val="center"/>
              <w:rPr>
                <w:rFonts w:ascii="宋体" w:cs="Times New Roman"/>
              </w:rPr>
            </w:pPr>
            <w:r>
              <w:rPr>
                <w:rFonts w:hint="eastAsia" w:ascii="宋体" w:hAnsi="宋体" w:cs="宋体"/>
              </w:rPr>
              <w:t>备</w:t>
            </w:r>
            <w:r>
              <w:rPr>
                <w:rFonts w:ascii="宋体" w:hAnsi="宋体" w:cs="宋体"/>
              </w:rPr>
              <w:t xml:space="preserve">  </w:t>
            </w:r>
            <w:r>
              <w:rPr>
                <w:rFonts w:hint="eastAsia" w:ascii="宋体" w:hAnsi="宋体" w:cs="宋体"/>
              </w:rPr>
              <w:t>注</w:t>
            </w:r>
          </w:p>
        </w:tc>
        <w:tc>
          <w:tcPr>
            <w:tcW w:w="6281" w:type="dxa"/>
            <w:gridSpan w:val="3"/>
            <w:tcBorders>
              <w:top w:val="single" w:color="auto" w:sz="6" w:space="0"/>
              <w:left w:val="single" w:color="auto" w:sz="6" w:space="0"/>
              <w:bottom w:val="double" w:color="auto" w:sz="4" w:space="0"/>
              <w:right w:val="double" w:color="auto" w:sz="4" w:space="0"/>
            </w:tcBorders>
          </w:tcPr>
          <w:p>
            <w:pPr>
              <w:adjustRightInd w:val="0"/>
              <w:snapToGrid w:val="0"/>
              <w:ind w:left="-88" w:leftChars="-42" w:firstLine="105" w:firstLineChars="50"/>
              <w:rPr>
                <w:rFonts w:ascii="宋体" w:cs="Times New Roman"/>
              </w:rPr>
            </w:pPr>
          </w:p>
        </w:tc>
      </w:tr>
    </w:tbl>
    <w:p>
      <w:pPr>
        <w:adjustRightInd w:val="0"/>
        <w:snapToGrid w:val="0"/>
        <w:spacing w:line="360" w:lineRule="auto"/>
        <w:rPr>
          <w:rFonts w:cs="Times New Roman" w:asciiTheme="minorEastAsia" w:hAnsiTheme="minorEastAsia" w:eastAsiaTheme="minorEastAsia"/>
        </w:rPr>
      </w:pPr>
    </w:p>
    <w:p>
      <w:pPr>
        <w:adjustRightInd w:val="0"/>
        <w:snapToGrid w:val="0"/>
        <w:spacing w:line="360" w:lineRule="auto"/>
        <w:rPr>
          <w:rStyle w:val="11"/>
          <w:rFonts w:cs="Times New Roman" w:asciiTheme="minorEastAsia" w:hAnsiTheme="minorEastAsia" w:eastAsiaTheme="minorEastAsia"/>
          <w:b w:val="0"/>
          <w:bCs w:val="0"/>
        </w:rPr>
      </w:pPr>
      <w:r>
        <w:rPr>
          <w:rFonts w:hint="eastAsia" w:cs="仿宋_GB2312" w:asciiTheme="minorEastAsia" w:hAnsiTheme="minorEastAsia" w:eastAsiaTheme="minorEastAsia"/>
        </w:rPr>
        <w:t>说明：</w:t>
      </w:r>
      <w:r>
        <w:rPr>
          <w:rFonts w:cs="仿宋_GB2312" w:asciiTheme="minorEastAsia" w:hAnsiTheme="minorEastAsia" w:eastAsiaTheme="minorEastAsia"/>
        </w:rPr>
        <w:t>1</w:t>
      </w:r>
      <w:r>
        <w:rPr>
          <w:rFonts w:hint="eastAsia" w:cs="仿宋_GB2312" w:asciiTheme="minorEastAsia" w:hAnsiTheme="minorEastAsia" w:eastAsiaTheme="minorEastAsia"/>
        </w:rPr>
        <w:t>、“品目代码”栏按</w:t>
      </w:r>
      <w:r>
        <w:rPr>
          <w:rStyle w:val="11"/>
          <w:rFonts w:hint="eastAsia" w:cs="仿宋_GB2312" w:asciiTheme="minorEastAsia" w:hAnsiTheme="minorEastAsia" w:eastAsiaTheme="minorEastAsia"/>
          <w:b w:val="0"/>
          <w:bCs w:val="0"/>
        </w:rPr>
        <w:t>《政府采购品目分类目录》规定填写，如</w:t>
      </w:r>
      <w:r>
        <w:rPr>
          <w:rFonts w:cs="仿宋_GB2312" w:asciiTheme="minorEastAsia" w:hAnsiTheme="minorEastAsia" w:eastAsiaTheme="minorEastAsia"/>
        </w:rPr>
        <w:t>A02010103</w:t>
      </w:r>
      <w:r>
        <w:rPr>
          <w:rFonts w:hint="eastAsia" w:cs="仿宋_GB2312" w:asciiTheme="minorEastAsia" w:hAnsiTheme="minorEastAsia" w:eastAsiaTheme="minorEastAsia"/>
        </w:rPr>
        <w:t>服务器</w:t>
      </w:r>
      <w:r>
        <w:rPr>
          <w:rStyle w:val="11"/>
          <w:rFonts w:hint="eastAsia" w:cs="仿宋_GB2312" w:asciiTheme="minorEastAsia" w:hAnsiTheme="minorEastAsia" w:eastAsiaTheme="minorEastAsia"/>
          <w:b w:val="0"/>
          <w:bCs w:val="0"/>
        </w:rPr>
        <w:t>；</w:t>
      </w:r>
    </w:p>
    <w:p>
      <w:pPr>
        <w:adjustRightInd w:val="0"/>
        <w:snapToGrid w:val="0"/>
        <w:spacing w:line="360" w:lineRule="auto"/>
        <w:ind w:firstLine="630" w:firstLineChars="300"/>
        <w:rPr>
          <w:rFonts w:cs="Times New Roman" w:asciiTheme="minorEastAsia" w:hAnsiTheme="minorEastAsia" w:eastAsiaTheme="minorEastAsia"/>
        </w:rPr>
      </w:pPr>
      <w:r>
        <w:rPr>
          <w:rFonts w:cs="仿宋_GB2312" w:asciiTheme="minorEastAsia" w:hAnsiTheme="minorEastAsia" w:eastAsiaTheme="minorEastAsia"/>
        </w:rPr>
        <w:t>2</w:t>
      </w:r>
      <w:r>
        <w:rPr>
          <w:rFonts w:hint="eastAsia" w:cs="仿宋_GB2312" w:asciiTheme="minorEastAsia" w:hAnsiTheme="minorEastAsia" w:eastAsiaTheme="minorEastAsia"/>
        </w:rPr>
        <w:t>、“品牌和生产厂家”栏指产品的品牌和生产厂家，生产厂家还应提供组织机构代码；</w:t>
      </w:r>
    </w:p>
    <w:p>
      <w:pPr>
        <w:adjustRightInd w:val="0"/>
        <w:snapToGrid w:val="0"/>
        <w:spacing w:line="360" w:lineRule="auto"/>
        <w:rPr>
          <w:rFonts w:ascii="宋体" w:cs="Times New Roman"/>
        </w:rPr>
      </w:pPr>
    </w:p>
    <w:p>
      <w:pPr>
        <w:adjustRightInd w:val="0"/>
        <w:snapToGrid w:val="0"/>
        <w:spacing w:line="360" w:lineRule="auto"/>
        <w:rPr>
          <w:rFonts w:ascii="宋体" w:cs="Times New Roman"/>
        </w:rPr>
      </w:pPr>
      <w:r>
        <w:rPr>
          <w:rFonts w:hint="eastAsia" w:ascii="宋体" w:hAnsi="宋体" w:cs="宋体"/>
        </w:rPr>
        <w:t>供应商（盖单位章）：</w:t>
      </w:r>
    </w:p>
    <w:p>
      <w:pPr>
        <w:adjustRightInd w:val="0"/>
        <w:snapToGrid w:val="0"/>
        <w:spacing w:line="360" w:lineRule="auto"/>
        <w:rPr>
          <w:rFonts w:ascii="宋体" w:cs="Times New Roman"/>
          <w:u w:val="single"/>
        </w:rPr>
      </w:pPr>
      <w:r>
        <w:rPr>
          <w:rFonts w:hint="eastAsia" w:ascii="宋体" w:hAnsi="宋体" w:cs="宋体"/>
        </w:rPr>
        <w:t>法定代表人或其委托代理人签字：</w:t>
      </w:r>
      <w:r>
        <w:rPr>
          <w:rFonts w:hint="eastAsia" w:ascii="宋体" w:hAnsi="宋体" w:cs="宋体"/>
          <w:u w:val="single"/>
        </w:rPr>
        <w:t xml:space="preserve">                </w:t>
      </w:r>
    </w:p>
    <w:p>
      <w:pPr>
        <w:adjustRightInd w:val="0"/>
        <w:snapToGrid w:val="0"/>
        <w:spacing w:line="360" w:lineRule="auto"/>
        <w:rPr>
          <w:rFonts w:ascii="宋体" w:cs="Times New Roman"/>
        </w:rPr>
      </w:pPr>
      <w:r>
        <w:rPr>
          <w:rFonts w:hint="eastAsia" w:ascii="宋体" w:hAnsi="宋体" w:cs="宋体"/>
        </w:rPr>
        <w:t>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日</w:t>
      </w:r>
    </w:p>
    <w:p>
      <w:pPr>
        <w:adjustRightInd w:val="0"/>
        <w:snapToGrid w:val="0"/>
        <w:rPr>
          <w:rFonts w:ascii="黑体" w:hAnsi="宋体" w:eastAsia="黑体" w:cs="Times New Roman"/>
          <w:b/>
          <w:bCs/>
          <w:sz w:val="24"/>
          <w:szCs w:val="24"/>
        </w:rPr>
      </w:pPr>
    </w:p>
    <w:p>
      <w:pPr>
        <w:adjustRightInd w:val="0"/>
        <w:snapToGrid w:val="0"/>
        <w:rPr>
          <w:rFonts w:ascii="楷体_GB2312" w:eastAsia="楷体_GB2312" w:cs="Times New Roman"/>
          <w:b/>
          <w:bCs/>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start="0"/>
          <w:cols w:space="425" w:num="1"/>
          <w:titlePg/>
          <w:docGrid w:type="lines" w:linePitch="312" w:charSpace="0"/>
        </w:sectPr>
      </w:pPr>
    </w:p>
    <w:p>
      <w:pPr>
        <w:spacing w:line="360" w:lineRule="exact"/>
        <w:ind w:firstLine="210" w:firstLineChars="100"/>
        <w:rPr>
          <w:rFonts w:ascii="楷体_GB2312" w:eastAsia="楷体_GB2312" w:cs="Times New Roman"/>
          <w:b/>
          <w:bCs/>
        </w:rPr>
      </w:pPr>
    </w:p>
    <w:p>
      <w:pPr>
        <w:adjustRightInd w:val="0"/>
        <w:snapToGrid w:val="0"/>
        <w:jc w:val="center"/>
        <w:rPr>
          <w:rFonts w:ascii="黑体" w:hAnsi="宋体" w:eastAsia="黑体" w:cs="黑体"/>
          <w:b/>
          <w:bCs/>
          <w:sz w:val="28"/>
          <w:szCs w:val="28"/>
        </w:rPr>
      </w:pPr>
      <w:r>
        <w:rPr>
          <w:rFonts w:hint="eastAsia" w:ascii="黑体" w:hAnsi="宋体" w:eastAsia="黑体" w:cs="黑体"/>
          <w:b/>
          <w:bCs/>
          <w:sz w:val="28"/>
          <w:szCs w:val="28"/>
        </w:rPr>
        <w:t>分项价格表</w:t>
      </w:r>
      <w:r>
        <w:rPr>
          <w:rFonts w:ascii="黑体" w:hAnsi="宋体" w:eastAsia="黑体" w:cs="黑体"/>
          <w:b/>
          <w:bCs/>
          <w:sz w:val="28"/>
          <w:szCs w:val="28"/>
        </w:rPr>
        <w:t>(</w:t>
      </w:r>
      <w:r>
        <w:rPr>
          <w:rFonts w:hint="eastAsia" w:ascii="黑体" w:hAnsi="宋体" w:eastAsia="黑体" w:cs="黑体"/>
          <w:b/>
          <w:bCs/>
          <w:sz w:val="28"/>
          <w:szCs w:val="28"/>
        </w:rPr>
        <w:t>货物</w:t>
      </w:r>
      <w:r>
        <w:rPr>
          <w:rFonts w:hint="eastAsia" w:ascii="黑体" w:eastAsia="黑体" w:cs="黑体"/>
          <w:b/>
          <w:bCs/>
          <w:sz w:val="28"/>
          <w:szCs w:val="28"/>
        </w:rPr>
        <w:t>类适用</w:t>
      </w:r>
      <w:r>
        <w:rPr>
          <w:rFonts w:ascii="黑体" w:hAnsi="宋体" w:eastAsia="黑体" w:cs="黑体"/>
          <w:b/>
          <w:bCs/>
          <w:sz w:val="28"/>
          <w:szCs w:val="28"/>
        </w:rPr>
        <w:t xml:space="preserve">) </w:t>
      </w:r>
    </w:p>
    <w:p>
      <w:pPr>
        <w:spacing w:line="360" w:lineRule="exact"/>
        <w:ind w:firstLine="210" w:firstLineChars="100"/>
        <w:rPr>
          <w:rFonts w:ascii="楷体_GB2312" w:eastAsia="楷体_GB2312" w:cs="Times New Roman"/>
          <w:b/>
          <w:bCs/>
        </w:rPr>
      </w:pPr>
    </w:p>
    <w:p>
      <w:pPr>
        <w:spacing w:line="360" w:lineRule="exact"/>
        <w:ind w:firstLine="210" w:firstLineChars="100"/>
        <w:rPr>
          <w:rFonts w:ascii="楷体_GB2312" w:eastAsia="楷体_GB2312" w:cs="Times New Roman"/>
          <w:b/>
          <w:bCs/>
        </w:rPr>
      </w:pPr>
    </w:p>
    <w:p>
      <w:pPr>
        <w:spacing w:line="360" w:lineRule="exact"/>
        <w:ind w:firstLine="315" w:firstLineChars="150"/>
        <w:rPr>
          <w:rFonts w:cs="Times New Roman" w:asciiTheme="minorEastAsia" w:hAnsiTheme="minorEastAsia" w:eastAsiaTheme="minorEastAsia"/>
          <w:bCs/>
        </w:rPr>
      </w:pPr>
      <w:r>
        <w:rPr>
          <w:rFonts w:hint="eastAsia" w:cs="楷体_GB2312" w:asciiTheme="minorEastAsia" w:hAnsiTheme="minorEastAsia" w:eastAsiaTheme="minorEastAsia"/>
          <w:bCs/>
        </w:rPr>
        <w:t>项目名称：</w:t>
      </w:r>
    </w:p>
    <w:p>
      <w:pPr>
        <w:spacing w:line="360" w:lineRule="exact"/>
        <w:ind w:firstLine="315" w:firstLineChars="150"/>
        <w:rPr>
          <w:rFonts w:cs="楷体_GB2312" w:asciiTheme="minorEastAsia" w:hAnsiTheme="minorEastAsia" w:eastAsiaTheme="minorEastAsia"/>
          <w:bCs/>
        </w:rPr>
      </w:pPr>
      <w:r>
        <w:rPr>
          <w:rFonts w:hint="eastAsia" w:cs="楷体_GB2312" w:asciiTheme="minorEastAsia" w:hAnsiTheme="minorEastAsia" w:eastAsiaTheme="minorEastAsia"/>
          <w:bCs/>
        </w:rPr>
        <w:t>包号：</w:t>
      </w:r>
      <w:r>
        <w:rPr>
          <w:rFonts w:cs="楷体_GB2312" w:asciiTheme="minorEastAsia" w:hAnsiTheme="minorEastAsia" w:eastAsiaTheme="minorEastAsia"/>
          <w:bCs/>
        </w:rPr>
        <w:t xml:space="preserve">                                                                                                       </w:t>
      </w:r>
      <w:r>
        <w:rPr>
          <w:rFonts w:hint="eastAsia" w:cs="楷体_GB2312" w:asciiTheme="minorEastAsia" w:hAnsiTheme="minorEastAsia" w:eastAsiaTheme="minorEastAsia"/>
          <w:bCs/>
        </w:rPr>
        <w:t>金额单位：元</w:t>
      </w:r>
    </w:p>
    <w:p>
      <w:pPr>
        <w:spacing w:line="360" w:lineRule="exact"/>
        <w:ind w:firstLine="210" w:firstLineChars="100"/>
        <w:rPr>
          <w:rFonts w:cs="Times New Roman" w:asciiTheme="minorEastAsia" w:hAnsiTheme="minorEastAsia" w:eastAsiaTheme="minorEastAsia"/>
          <w:bCs/>
        </w:rPr>
      </w:pPr>
    </w:p>
    <w:tbl>
      <w:tblPr>
        <w:tblStyle w:val="13"/>
        <w:tblW w:w="13015" w:type="dxa"/>
        <w:tblInd w:w="469"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6"/>
        <w:gridCol w:w="1144"/>
        <w:gridCol w:w="1047"/>
        <w:gridCol w:w="1047"/>
        <w:gridCol w:w="1047"/>
        <w:gridCol w:w="1222"/>
        <w:gridCol w:w="1222"/>
        <w:gridCol w:w="775"/>
        <w:gridCol w:w="775"/>
        <w:gridCol w:w="900"/>
        <w:gridCol w:w="900"/>
        <w:gridCol w:w="1080"/>
        <w:gridCol w:w="1080"/>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9" w:hRule="atLeast"/>
        </w:trPr>
        <w:tc>
          <w:tcPr>
            <w:tcW w:w="776"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序号</w:t>
            </w:r>
          </w:p>
        </w:tc>
        <w:tc>
          <w:tcPr>
            <w:tcW w:w="1144"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货物名称</w:t>
            </w:r>
          </w:p>
        </w:tc>
        <w:tc>
          <w:tcPr>
            <w:tcW w:w="1047" w:type="dxa"/>
            <w:tcBorders>
              <w:top w:val="double" w:color="auto" w:sz="4" w:space="0"/>
            </w:tcBorders>
          </w:tcPr>
          <w:p>
            <w:pPr>
              <w:adjustRightInd w:val="0"/>
              <w:snapToGrid w:val="0"/>
              <w:spacing w:line="360" w:lineRule="auto"/>
              <w:jc w:val="center"/>
              <w:rPr>
                <w:rFonts w:cs="宋体" w:asciiTheme="minorEastAsia" w:hAnsiTheme="minorEastAsia" w:eastAsiaTheme="minorEastAsia"/>
              </w:rPr>
            </w:pPr>
            <w:r>
              <w:rPr>
                <w:rFonts w:hint="eastAsia" w:cs="宋体" w:asciiTheme="minorEastAsia" w:hAnsiTheme="minorEastAsia" w:eastAsiaTheme="minorEastAsia"/>
              </w:rPr>
              <w:t>品目</w:t>
            </w:r>
          </w:p>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代码</w:t>
            </w:r>
          </w:p>
        </w:tc>
        <w:tc>
          <w:tcPr>
            <w:tcW w:w="1047" w:type="dxa"/>
            <w:tcBorders>
              <w:top w:val="double" w:color="auto" w:sz="4" w:space="0"/>
            </w:tcBorders>
            <w:vAlign w:val="center"/>
          </w:tcPr>
          <w:p>
            <w:pPr>
              <w:adjustRightInd w:val="0"/>
              <w:snapToGrid w:val="0"/>
              <w:spacing w:line="360" w:lineRule="auto"/>
              <w:jc w:val="center"/>
              <w:rPr>
                <w:rFonts w:cs="宋体" w:asciiTheme="minorEastAsia" w:hAnsiTheme="minorEastAsia" w:eastAsiaTheme="minorEastAsia"/>
              </w:rPr>
            </w:pPr>
            <w:r>
              <w:rPr>
                <w:rFonts w:hint="eastAsia" w:cs="宋体" w:asciiTheme="minorEastAsia" w:hAnsiTheme="minorEastAsia" w:eastAsiaTheme="minorEastAsia"/>
              </w:rPr>
              <w:t>商品</w:t>
            </w:r>
          </w:p>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编码</w:t>
            </w:r>
          </w:p>
        </w:tc>
        <w:tc>
          <w:tcPr>
            <w:tcW w:w="1047"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品牌</w:t>
            </w:r>
          </w:p>
        </w:tc>
        <w:tc>
          <w:tcPr>
            <w:tcW w:w="1222"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型号规格</w:t>
            </w:r>
          </w:p>
        </w:tc>
        <w:tc>
          <w:tcPr>
            <w:tcW w:w="1222"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制造厂商</w:t>
            </w:r>
            <w:r>
              <w:rPr>
                <w:rFonts w:cs="Times New Roman" w:asciiTheme="minorEastAsia" w:hAnsiTheme="minorEastAsia" w:eastAsiaTheme="minorEastAsia"/>
              </w:rPr>
              <w:br w:type="textWrapping"/>
            </w:r>
            <w:r>
              <w:rPr>
                <w:rFonts w:hint="eastAsia" w:cs="宋体" w:asciiTheme="minorEastAsia" w:hAnsiTheme="minorEastAsia" w:eastAsiaTheme="minorEastAsia"/>
              </w:rPr>
              <w:t>机构代码</w:t>
            </w:r>
          </w:p>
        </w:tc>
        <w:tc>
          <w:tcPr>
            <w:tcW w:w="775" w:type="dxa"/>
            <w:tcBorders>
              <w:top w:val="double" w:color="auto" w:sz="4" w:space="0"/>
            </w:tcBorders>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中小企业</w:t>
            </w:r>
          </w:p>
        </w:tc>
        <w:tc>
          <w:tcPr>
            <w:tcW w:w="775"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单价</w:t>
            </w:r>
          </w:p>
        </w:tc>
        <w:tc>
          <w:tcPr>
            <w:tcW w:w="900"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数量</w:t>
            </w:r>
          </w:p>
        </w:tc>
        <w:tc>
          <w:tcPr>
            <w:tcW w:w="900"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合计</w:t>
            </w:r>
          </w:p>
        </w:tc>
        <w:tc>
          <w:tcPr>
            <w:tcW w:w="1080"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政策功能编码</w:t>
            </w:r>
          </w:p>
        </w:tc>
        <w:tc>
          <w:tcPr>
            <w:tcW w:w="1080" w:type="dxa"/>
            <w:tcBorders>
              <w:top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备注</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76" w:type="dxa"/>
            <w:vAlign w:val="center"/>
          </w:tcPr>
          <w:p>
            <w:pPr>
              <w:adjustRightInd w:val="0"/>
              <w:snapToGrid w:val="0"/>
              <w:spacing w:line="360" w:lineRule="auto"/>
              <w:jc w:val="center"/>
              <w:rPr>
                <w:rFonts w:cs="Times New Roman" w:asciiTheme="minorEastAsia" w:hAnsiTheme="minorEastAsia" w:eastAsiaTheme="minorEastAsia"/>
              </w:rPr>
            </w:pPr>
          </w:p>
        </w:tc>
        <w:tc>
          <w:tcPr>
            <w:tcW w:w="1144" w:type="dxa"/>
            <w:vAlign w:val="center"/>
          </w:tcPr>
          <w:p>
            <w:pPr>
              <w:adjustRightInd w:val="0"/>
              <w:snapToGrid w:val="0"/>
              <w:spacing w:line="360" w:lineRule="auto"/>
              <w:jc w:val="center"/>
              <w:rPr>
                <w:rFonts w:cs="Times New Roman" w:asciiTheme="minorEastAsia" w:hAnsiTheme="minorEastAsia" w:eastAsiaTheme="minorEastAsia"/>
              </w:rPr>
            </w:pPr>
          </w:p>
        </w:tc>
        <w:tc>
          <w:tcPr>
            <w:tcW w:w="1047" w:type="dxa"/>
          </w:tcPr>
          <w:p>
            <w:pPr>
              <w:adjustRightInd w:val="0"/>
              <w:snapToGrid w:val="0"/>
              <w:spacing w:line="360" w:lineRule="auto"/>
              <w:jc w:val="center"/>
              <w:rPr>
                <w:rFonts w:cs="Times New Roman" w:asciiTheme="minorEastAsia" w:hAnsiTheme="minorEastAsia" w:eastAsiaTheme="minorEastAsia"/>
              </w:rPr>
            </w:pPr>
          </w:p>
        </w:tc>
        <w:tc>
          <w:tcPr>
            <w:tcW w:w="1047" w:type="dxa"/>
          </w:tcPr>
          <w:p>
            <w:pPr>
              <w:adjustRightInd w:val="0"/>
              <w:snapToGrid w:val="0"/>
              <w:spacing w:line="360" w:lineRule="auto"/>
              <w:jc w:val="center"/>
              <w:rPr>
                <w:rFonts w:cs="Times New Roman" w:asciiTheme="minorEastAsia" w:hAnsiTheme="minorEastAsia" w:eastAsiaTheme="minorEastAsia"/>
              </w:rPr>
            </w:pPr>
          </w:p>
        </w:tc>
        <w:tc>
          <w:tcPr>
            <w:tcW w:w="1047" w:type="dxa"/>
            <w:vAlign w:val="center"/>
          </w:tcPr>
          <w:p>
            <w:pPr>
              <w:adjustRightInd w:val="0"/>
              <w:snapToGrid w:val="0"/>
              <w:spacing w:line="360" w:lineRule="auto"/>
              <w:jc w:val="center"/>
              <w:rPr>
                <w:rFonts w:cs="Times New Roman" w:asciiTheme="minorEastAsia" w:hAnsiTheme="minorEastAsia" w:eastAsiaTheme="minorEastAsia"/>
              </w:rPr>
            </w:pPr>
          </w:p>
        </w:tc>
        <w:tc>
          <w:tcPr>
            <w:tcW w:w="1222" w:type="dxa"/>
          </w:tcPr>
          <w:p>
            <w:pPr>
              <w:adjustRightInd w:val="0"/>
              <w:snapToGrid w:val="0"/>
              <w:spacing w:line="360" w:lineRule="auto"/>
              <w:jc w:val="center"/>
              <w:rPr>
                <w:rFonts w:cs="Times New Roman" w:asciiTheme="minorEastAsia" w:hAnsiTheme="minorEastAsia" w:eastAsiaTheme="minorEastAsia"/>
              </w:rPr>
            </w:pPr>
          </w:p>
        </w:tc>
        <w:tc>
          <w:tcPr>
            <w:tcW w:w="1222" w:type="dxa"/>
          </w:tcPr>
          <w:p>
            <w:pPr>
              <w:adjustRightInd w:val="0"/>
              <w:snapToGrid w:val="0"/>
              <w:spacing w:line="360" w:lineRule="auto"/>
              <w:jc w:val="center"/>
              <w:rPr>
                <w:rFonts w:cs="Times New Roman" w:asciiTheme="minorEastAsia" w:hAnsiTheme="minorEastAsia" w:eastAsiaTheme="minorEastAsia"/>
              </w:rPr>
            </w:pPr>
          </w:p>
        </w:tc>
        <w:tc>
          <w:tcPr>
            <w:tcW w:w="775" w:type="dxa"/>
          </w:tcPr>
          <w:p>
            <w:pPr>
              <w:adjustRightInd w:val="0"/>
              <w:snapToGrid w:val="0"/>
              <w:spacing w:line="360" w:lineRule="auto"/>
              <w:jc w:val="center"/>
              <w:rPr>
                <w:rFonts w:cs="Times New Roman" w:asciiTheme="minorEastAsia" w:hAnsiTheme="minorEastAsia" w:eastAsiaTheme="minorEastAsia"/>
              </w:rPr>
            </w:pPr>
          </w:p>
        </w:tc>
        <w:tc>
          <w:tcPr>
            <w:tcW w:w="775" w:type="dxa"/>
            <w:vAlign w:val="center"/>
          </w:tcPr>
          <w:p>
            <w:pPr>
              <w:adjustRightInd w:val="0"/>
              <w:snapToGrid w:val="0"/>
              <w:spacing w:line="360" w:lineRule="auto"/>
              <w:jc w:val="center"/>
              <w:rPr>
                <w:rFonts w:cs="Times New Roman" w:asciiTheme="minorEastAsia" w:hAnsiTheme="minorEastAsia" w:eastAsiaTheme="minorEastAsia"/>
              </w:rPr>
            </w:pPr>
          </w:p>
        </w:tc>
        <w:tc>
          <w:tcPr>
            <w:tcW w:w="900" w:type="dxa"/>
            <w:vAlign w:val="center"/>
          </w:tcPr>
          <w:p>
            <w:pPr>
              <w:adjustRightInd w:val="0"/>
              <w:snapToGrid w:val="0"/>
              <w:spacing w:line="360" w:lineRule="auto"/>
              <w:jc w:val="center"/>
              <w:rPr>
                <w:rFonts w:cs="Times New Roman" w:asciiTheme="minorEastAsia" w:hAnsiTheme="minorEastAsia" w:eastAsiaTheme="minorEastAsia"/>
              </w:rPr>
            </w:pPr>
          </w:p>
        </w:tc>
        <w:tc>
          <w:tcPr>
            <w:tcW w:w="900" w:type="dxa"/>
          </w:tcPr>
          <w:p>
            <w:pPr>
              <w:adjustRightInd w:val="0"/>
              <w:snapToGrid w:val="0"/>
              <w:spacing w:line="360" w:lineRule="auto"/>
              <w:jc w:val="center"/>
              <w:rPr>
                <w:rFonts w:cs="Times New Roman" w:asciiTheme="minorEastAsia" w:hAnsiTheme="minorEastAsia" w:eastAsiaTheme="minorEastAsia"/>
              </w:rPr>
            </w:pPr>
          </w:p>
        </w:tc>
        <w:tc>
          <w:tcPr>
            <w:tcW w:w="1080" w:type="dxa"/>
            <w:vAlign w:val="center"/>
          </w:tcPr>
          <w:p>
            <w:pPr>
              <w:adjustRightInd w:val="0"/>
              <w:snapToGrid w:val="0"/>
              <w:spacing w:line="360" w:lineRule="auto"/>
              <w:jc w:val="center"/>
              <w:rPr>
                <w:rFonts w:cs="Times New Roman" w:asciiTheme="minorEastAsia" w:hAnsiTheme="minorEastAsia" w:eastAsiaTheme="minorEastAsia"/>
              </w:rPr>
            </w:pPr>
          </w:p>
        </w:tc>
        <w:tc>
          <w:tcPr>
            <w:tcW w:w="1080" w:type="dxa"/>
            <w:vAlign w:val="center"/>
          </w:tcPr>
          <w:p>
            <w:pPr>
              <w:adjustRightInd w:val="0"/>
              <w:snapToGrid w:val="0"/>
              <w:spacing w:line="360" w:lineRule="auto"/>
              <w:jc w:val="center"/>
              <w:rPr>
                <w:rFonts w:cs="Times New Roman" w:asciiTheme="minorEastAsia" w:hAnsiTheme="minorEastAsia" w:eastAsiaTheme="minorEastAsia"/>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76" w:type="dxa"/>
            <w:vAlign w:val="center"/>
          </w:tcPr>
          <w:p>
            <w:pPr>
              <w:adjustRightInd w:val="0"/>
              <w:snapToGrid w:val="0"/>
              <w:spacing w:line="360" w:lineRule="auto"/>
              <w:jc w:val="center"/>
              <w:rPr>
                <w:rFonts w:cs="Times New Roman" w:asciiTheme="minorEastAsia" w:hAnsiTheme="minorEastAsia" w:eastAsiaTheme="minorEastAsia"/>
              </w:rPr>
            </w:pPr>
          </w:p>
        </w:tc>
        <w:tc>
          <w:tcPr>
            <w:tcW w:w="1144" w:type="dxa"/>
            <w:vAlign w:val="center"/>
          </w:tcPr>
          <w:p>
            <w:pPr>
              <w:adjustRightInd w:val="0"/>
              <w:snapToGrid w:val="0"/>
              <w:spacing w:line="360" w:lineRule="auto"/>
              <w:jc w:val="center"/>
              <w:rPr>
                <w:rFonts w:cs="Times New Roman" w:asciiTheme="minorEastAsia" w:hAnsiTheme="minorEastAsia" w:eastAsiaTheme="minorEastAsia"/>
              </w:rPr>
            </w:pPr>
          </w:p>
        </w:tc>
        <w:tc>
          <w:tcPr>
            <w:tcW w:w="1047" w:type="dxa"/>
          </w:tcPr>
          <w:p>
            <w:pPr>
              <w:adjustRightInd w:val="0"/>
              <w:snapToGrid w:val="0"/>
              <w:spacing w:line="360" w:lineRule="auto"/>
              <w:jc w:val="center"/>
              <w:rPr>
                <w:rFonts w:cs="Times New Roman" w:asciiTheme="minorEastAsia" w:hAnsiTheme="minorEastAsia" w:eastAsiaTheme="minorEastAsia"/>
              </w:rPr>
            </w:pPr>
          </w:p>
        </w:tc>
        <w:tc>
          <w:tcPr>
            <w:tcW w:w="1047" w:type="dxa"/>
          </w:tcPr>
          <w:p>
            <w:pPr>
              <w:adjustRightInd w:val="0"/>
              <w:snapToGrid w:val="0"/>
              <w:spacing w:line="360" w:lineRule="auto"/>
              <w:jc w:val="center"/>
              <w:rPr>
                <w:rFonts w:cs="Times New Roman" w:asciiTheme="minorEastAsia" w:hAnsiTheme="minorEastAsia" w:eastAsiaTheme="minorEastAsia"/>
              </w:rPr>
            </w:pPr>
          </w:p>
        </w:tc>
        <w:tc>
          <w:tcPr>
            <w:tcW w:w="1047" w:type="dxa"/>
            <w:vAlign w:val="center"/>
          </w:tcPr>
          <w:p>
            <w:pPr>
              <w:adjustRightInd w:val="0"/>
              <w:snapToGrid w:val="0"/>
              <w:spacing w:line="360" w:lineRule="auto"/>
              <w:jc w:val="center"/>
              <w:rPr>
                <w:rFonts w:cs="Times New Roman" w:asciiTheme="minorEastAsia" w:hAnsiTheme="minorEastAsia" w:eastAsiaTheme="minorEastAsia"/>
              </w:rPr>
            </w:pPr>
          </w:p>
        </w:tc>
        <w:tc>
          <w:tcPr>
            <w:tcW w:w="1222" w:type="dxa"/>
          </w:tcPr>
          <w:p>
            <w:pPr>
              <w:adjustRightInd w:val="0"/>
              <w:snapToGrid w:val="0"/>
              <w:spacing w:line="360" w:lineRule="auto"/>
              <w:jc w:val="center"/>
              <w:rPr>
                <w:rFonts w:cs="Times New Roman" w:asciiTheme="minorEastAsia" w:hAnsiTheme="minorEastAsia" w:eastAsiaTheme="minorEastAsia"/>
              </w:rPr>
            </w:pPr>
          </w:p>
        </w:tc>
        <w:tc>
          <w:tcPr>
            <w:tcW w:w="1222" w:type="dxa"/>
          </w:tcPr>
          <w:p>
            <w:pPr>
              <w:adjustRightInd w:val="0"/>
              <w:snapToGrid w:val="0"/>
              <w:spacing w:line="360" w:lineRule="auto"/>
              <w:jc w:val="center"/>
              <w:rPr>
                <w:rFonts w:cs="Times New Roman" w:asciiTheme="minorEastAsia" w:hAnsiTheme="minorEastAsia" w:eastAsiaTheme="minorEastAsia"/>
              </w:rPr>
            </w:pPr>
          </w:p>
        </w:tc>
        <w:tc>
          <w:tcPr>
            <w:tcW w:w="775" w:type="dxa"/>
          </w:tcPr>
          <w:p>
            <w:pPr>
              <w:adjustRightInd w:val="0"/>
              <w:snapToGrid w:val="0"/>
              <w:spacing w:line="360" w:lineRule="auto"/>
              <w:jc w:val="center"/>
              <w:rPr>
                <w:rFonts w:cs="Times New Roman" w:asciiTheme="minorEastAsia" w:hAnsiTheme="minorEastAsia" w:eastAsiaTheme="minorEastAsia"/>
              </w:rPr>
            </w:pPr>
          </w:p>
        </w:tc>
        <w:tc>
          <w:tcPr>
            <w:tcW w:w="775" w:type="dxa"/>
            <w:vAlign w:val="center"/>
          </w:tcPr>
          <w:p>
            <w:pPr>
              <w:adjustRightInd w:val="0"/>
              <w:snapToGrid w:val="0"/>
              <w:spacing w:line="360" w:lineRule="auto"/>
              <w:jc w:val="center"/>
              <w:rPr>
                <w:rFonts w:cs="Times New Roman" w:asciiTheme="minorEastAsia" w:hAnsiTheme="minorEastAsia" w:eastAsiaTheme="minorEastAsia"/>
              </w:rPr>
            </w:pPr>
          </w:p>
        </w:tc>
        <w:tc>
          <w:tcPr>
            <w:tcW w:w="900" w:type="dxa"/>
            <w:vAlign w:val="center"/>
          </w:tcPr>
          <w:p>
            <w:pPr>
              <w:adjustRightInd w:val="0"/>
              <w:snapToGrid w:val="0"/>
              <w:spacing w:line="360" w:lineRule="auto"/>
              <w:jc w:val="center"/>
              <w:rPr>
                <w:rFonts w:cs="Times New Roman" w:asciiTheme="minorEastAsia" w:hAnsiTheme="minorEastAsia" w:eastAsiaTheme="minorEastAsia"/>
              </w:rPr>
            </w:pPr>
          </w:p>
        </w:tc>
        <w:tc>
          <w:tcPr>
            <w:tcW w:w="900" w:type="dxa"/>
          </w:tcPr>
          <w:p>
            <w:pPr>
              <w:adjustRightInd w:val="0"/>
              <w:snapToGrid w:val="0"/>
              <w:spacing w:line="360" w:lineRule="auto"/>
              <w:jc w:val="center"/>
              <w:rPr>
                <w:rFonts w:cs="Times New Roman" w:asciiTheme="minorEastAsia" w:hAnsiTheme="minorEastAsia" w:eastAsiaTheme="minorEastAsia"/>
              </w:rPr>
            </w:pPr>
          </w:p>
        </w:tc>
        <w:tc>
          <w:tcPr>
            <w:tcW w:w="1080" w:type="dxa"/>
            <w:vAlign w:val="center"/>
          </w:tcPr>
          <w:p>
            <w:pPr>
              <w:adjustRightInd w:val="0"/>
              <w:snapToGrid w:val="0"/>
              <w:spacing w:line="360" w:lineRule="auto"/>
              <w:jc w:val="center"/>
              <w:rPr>
                <w:rFonts w:cs="Times New Roman" w:asciiTheme="minorEastAsia" w:hAnsiTheme="minorEastAsia" w:eastAsiaTheme="minorEastAsia"/>
              </w:rPr>
            </w:pPr>
          </w:p>
        </w:tc>
        <w:tc>
          <w:tcPr>
            <w:tcW w:w="1080" w:type="dxa"/>
            <w:vAlign w:val="center"/>
          </w:tcPr>
          <w:p>
            <w:pPr>
              <w:adjustRightInd w:val="0"/>
              <w:snapToGrid w:val="0"/>
              <w:spacing w:line="360" w:lineRule="auto"/>
              <w:jc w:val="center"/>
              <w:rPr>
                <w:rFonts w:cs="Times New Roman" w:asciiTheme="minorEastAsia" w:hAnsiTheme="minorEastAsia" w:eastAsiaTheme="minorEastAsia"/>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76" w:type="dxa"/>
            <w:vAlign w:val="center"/>
          </w:tcPr>
          <w:p>
            <w:pPr>
              <w:adjustRightInd w:val="0"/>
              <w:snapToGrid w:val="0"/>
              <w:spacing w:line="360" w:lineRule="auto"/>
              <w:jc w:val="center"/>
              <w:rPr>
                <w:rFonts w:cs="Times New Roman" w:asciiTheme="minorEastAsia" w:hAnsiTheme="minorEastAsia" w:eastAsiaTheme="minorEastAsia"/>
              </w:rPr>
            </w:pPr>
          </w:p>
        </w:tc>
        <w:tc>
          <w:tcPr>
            <w:tcW w:w="1144" w:type="dxa"/>
            <w:vAlign w:val="center"/>
          </w:tcPr>
          <w:p>
            <w:pPr>
              <w:adjustRightInd w:val="0"/>
              <w:snapToGrid w:val="0"/>
              <w:spacing w:line="360" w:lineRule="auto"/>
              <w:jc w:val="center"/>
              <w:rPr>
                <w:rFonts w:cs="Times New Roman" w:asciiTheme="minorEastAsia" w:hAnsiTheme="minorEastAsia" w:eastAsiaTheme="minorEastAsia"/>
              </w:rPr>
            </w:pPr>
          </w:p>
        </w:tc>
        <w:tc>
          <w:tcPr>
            <w:tcW w:w="1047" w:type="dxa"/>
          </w:tcPr>
          <w:p>
            <w:pPr>
              <w:adjustRightInd w:val="0"/>
              <w:snapToGrid w:val="0"/>
              <w:spacing w:line="360" w:lineRule="auto"/>
              <w:jc w:val="center"/>
              <w:rPr>
                <w:rFonts w:cs="Times New Roman" w:asciiTheme="minorEastAsia" w:hAnsiTheme="minorEastAsia" w:eastAsiaTheme="minorEastAsia"/>
              </w:rPr>
            </w:pPr>
          </w:p>
        </w:tc>
        <w:tc>
          <w:tcPr>
            <w:tcW w:w="1047" w:type="dxa"/>
          </w:tcPr>
          <w:p>
            <w:pPr>
              <w:adjustRightInd w:val="0"/>
              <w:snapToGrid w:val="0"/>
              <w:spacing w:line="360" w:lineRule="auto"/>
              <w:jc w:val="center"/>
              <w:rPr>
                <w:rFonts w:cs="Times New Roman" w:asciiTheme="minorEastAsia" w:hAnsiTheme="minorEastAsia" w:eastAsiaTheme="minorEastAsia"/>
              </w:rPr>
            </w:pPr>
          </w:p>
        </w:tc>
        <w:tc>
          <w:tcPr>
            <w:tcW w:w="1047" w:type="dxa"/>
            <w:vAlign w:val="center"/>
          </w:tcPr>
          <w:p>
            <w:pPr>
              <w:adjustRightInd w:val="0"/>
              <w:snapToGrid w:val="0"/>
              <w:spacing w:line="360" w:lineRule="auto"/>
              <w:jc w:val="center"/>
              <w:rPr>
                <w:rFonts w:cs="Times New Roman" w:asciiTheme="minorEastAsia" w:hAnsiTheme="minorEastAsia" w:eastAsiaTheme="minorEastAsia"/>
              </w:rPr>
            </w:pPr>
          </w:p>
        </w:tc>
        <w:tc>
          <w:tcPr>
            <w:tcW w:w="1222" w:type="dxa"/>
          </w:tcPr>
          <w:p>
            <w:pPr>
              <w:adjustRightInd w:val="0"/>
              <w:snapToGrid w:val="0"/>
              <w:spacing w:line="360" w:lineRule="auto"/>
              <w:jc w:val="center"/>
              <w:rPr>
                <w:rFonts w:cs="Times New Roman" w:asciiTheme="minorEastAsia" w:hAnsiTheme="minorEastAsia" w:eastAsiaTheme="minorEastAsia"/>
              </w:rPr>
            </w:pPr>
          </w:p>
        </w:tc>
        <w:tc>
          <w:tcPr>
            <w:tcW w:w="1222" w:type="dxa"/>
          </w:tcPr>
          <w:p>
            <w:pPr>
              <w:adjustRightInd w:val="0"/>
              <w:snapToGrid w:val="0"/>
              <w:spacing w:line="360" w:lineRule="auto"/>
              <w:jc w:val="center"/>
              <w:rPr>
                <w:rFonts w:cs="Times New Roman" w:asciiTheme="minorEastAsia" w:hAnsiTheme="minorEastAsia" w:eastAsiaTheme="minorEastAsia"/>
              </w:rPr>
            </w:pPr>
          </w:p>
        </w:tc>
        <w:tc>
          <w:tcPr>
            <w:tcW w:w="775" w:type="dxa"/>
          </w:tcPr>
          <w:p>
            <w:pPr>
              <w:adjustRightInd w:val="0"/>
              <w:snapToGrid w:val="0"/>
              <w:spacing w:line="360" w:lineRule="auto"/>
              <w:jc w:val="center"/>
              <w:rPr>
                <w:rFonts w:cs="Times New Roman" w:asciiTheme="minorEastAsia" w:hAnsiTheme="minorEastAsia" w:eastAsiaTheme="minorEastAsia"/>
              </w:rPr>
            </w:pPr>
          </w:p>
        </w:tc>
        <w:tc>
          <w:tcPr>
            <w:tcW w:w="775" w:type="dxa"/>
            <w:vAlign w:val="center"/>
          </w:tcPr>
          <w:p>
            <w:pPr>
              <w:adjustRightInd w:val="0"/>
              <w:snapToGrid w:val="0"/>
              <w:spacing w:line="360" w:lineRule="auto"/>
              <w:jc w:val="center"/>
              <w:rPr>
                <w:rFonts w:cs="Times New Roman" w:asciiTheme="minorEastAsia" w:hAnsiTheme="minorEastAsia" w:eastAsiaTheme="minorEastAsia"/>
              </w:rPr>
            </w:pPr>
          </w:p>
        </w:tc>
        <w:tc>
          <w:tcPr>
            <w:tcW w:w="900" w:type="dxa"/>
            <w:vAlign w:val="center"/>
          </w:tcPr>
          <w:p>
            <w:pPr>
              <w:adjustRightInd w:val="0"/>
              <w:snapToGrid w:val="0"/>
              <w:spacing w:line="360" w:lineRule="auto"/>
              <w:jc w:val="center"/>
              <w:rPr>
                <w:rFonts w:cs="Times New Roman" w:asciiTheme="minorEastAsia" w:hAnsiTheme="minorEastAsia" w:eastAsiaTheme="minorEastAsia"/>
              </w:rPr>
            </w:pPr>
          </w:p>
        </w:tc>
        <w:tc>
          <w:tcPr>
            <w:tcW w:w="900" w:type="dxa"/>
          </w:tcPr>
          <w:p>
            <w:pPr>
              <w:adjustRightInd w:val="0"/>
              <w:snapToGrid w:val="0"/>
              <w:spacing w:line="360" w:lineRule="auto"/>
              <w:jc w:val="center"/>
              <w:rPr>
                <w:rFonts w:cs="Times New Roman" w:asciiTheme="minorEastAsia" w:hAnsiTheme="minorEastAsia" w:eastAsiaTheme="minorEastAsia"/>
              </w:rPr>
            </w:pPr>
          </w:p>
        </w:tc>
        <w:tc>
          <w:tcPr>
            <w:tcW w:w="1080" w:type="dxa"/>
            <w:vAlign w:val="center"/>
          </w:tcPr>
          <w:p>
            <w:pPr>
              <w:adjustRightInd w:val="0"/>
              <w:snapToGrid w:val="0"/>
              <w:spacing w:line="360" w:lineRule="auto"/>
              <w:jc w:val="center"/>
              <w:rPr>
                <w:rFonts w:cs="Times New Roman" w:asciiTheme="minorEastAsia" w:hAnsiTheme="minorEastAsia" w:eastAsiaTheme="minorEastAsia"/>
              </w:rPr>
            </w:pPr>
          </w:p>
        </w:tc>
        <w:tc>
          <w:tcPr>
            <w:tcW w:w="1080" w:type="dxa"/>
            <w:vAlign w:val="center"/>
          </w:tcPr>
          <w:p>
            <w:pPr>
              <w:adjustRightInd w:val="0"/>
              <w:snapToGrid w:val="0"/>
              <w:spacing w:line="360" w:lineRule="auto"/>
              <w:jc w:val="center"/>
              <w:rPr>
                <w:rFonts w:cs="Times New Roman" w:asciiTheme="minorEastAsia" w:hAnsiTheme="minorEastAsia" w:eastAsiaTheme="minorEastAsia"/>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2" w:hRule="atLeast"/>
        </w:trPr>
        <w:tc>
          <w:tcPr>
            <w:tcW w:w="776" w:type="dxa"/>
            <w:tcBorders>
              <w:bottom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p>
        </w:tc>
        <w:tc>
          <w:tcPr>
            <w:tcW w:w="1144" w:type="dxa"/>
            <w:tcBorders>
              <w:bottom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r>
              <w:rPr>
                <w:rFonts w:hint="eastAsia" w:cs="宋体" w:asciiTheme="minorEastAsia" w:hAnsiTheme="minorEastAsia" w:eastAsiaTheme="minorEastAsia"/>
              </w:rPr>
              <w:t>包合计</w:t>
            </w:r>
          </w:p>
        </w:tc>
        <w:tc>
          <w:tcPr>
            <w:tcW w:w="1047" w:type="dxa"/>
            <w:tcBorders>
              <w:bottom w:val="double" w:color="auto" w:sz="4" w:space="0"/>
            </w:tcBorders>
          </w:tcPr>
          <w:p>
            <w:pPr>
              <w:adjustRightInd w:val="0"/>
              <w:snapToGrid w:val="0"/>
              <w:spacing w:line="360" w:lineRule="auto"/>
              <w:jc w:val="center"/>
              <w:rPr>
                <w:rFonts w:cs="Times New Roman" w:asciiTheme="minorEastAsia" w:hAnsiTheme="minorEastAsia" w:eastAsiaTheme="minorEastAsia"/>
              </w:rPr>
            </w:pPr>
          </w:p>
        </w:tc>
        <w:tc>
          <w:tcPr>
            <w:tcW w:w="1047" w:type="dxa"/>
            <w:tcBorders>
              <w:bottom w:val="double" w:color="auto" w:sz="4" w:space="0"/>
            </w:tcBorders>
          </w:tcPr>
          <w:p>
            <w:pPr>
              <w:adjustRightInd w:val="0"/>
              <w:snapToGrid w:val="0"/>
              <w:spacing w:line="360" w:lineRule="auto"/>
              <w:jc w:val="center"/>
              <w:rPr>
                <w:rFonts w:cs="Times New Roman" w:asciiTheme="minorEastAsia" w:hAnsiTheme="minorEastAsia" w:eastAsiaTheme="minorEastAsia"/>
              </w:rPr>
            </w:pPr>
          </w:p>
        </w:tc>
        <w:tc>
          <w:tcPr>
            <w:tcW w:w="1047" w:type="dxa"/>
            <w:tcBorders>
              <w:bottom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p>
        </w:tc>
        <w:tc>
          <w:tcPr>
            <w:tcW w:w="1222" w:type="dxa"/>
            <w:tcBorders>
              <w:bottom w:val="double" w:color="auto" w:sz="4" w:space="0"/>
            </w:tcBorders>
          </w:tcPr>
          <w:p>
            <w:pPr>
              <w:adjustRightInd w:val="0"/>
              <w:snapToGrid w:val="0"/>
              <w:spacing w:line="360" w:lineRule="auto"/>
              <w:jc w:val="center"/>
              <w:rPr>
                <w:rFonts w:cs="Times New Roman" w:asciiTheme="minorEastAsia" w:hAnsiTheme="minorEastAsia" w:eastAsiaTheme="minorEastAsia"/>
              </w:rPr>
            </w:pPr>
          </w:p>
        </w:tc>
        <w:tc>
          <w:tcPr>
            <w:tcW w:w="1222" w:type="dxa"/>
            <w:tcBorders>
              <w:bottom w:val="double" w:color="auto" w:sz="4" w:space="0"/>
            </w:tcBorders>
          </w:tcPr>
          <w:p>
            <w:pPr>
              <w:adjustRightInd w:val="0"/>
              <w:snapToGrid w:val="0"/>
              <w:spacing w:line="360" w:lineRule="auto"/>
              <w:jc w:val="center"/>
              <w:rPr>
                <w:rFonts w:cs="Times New Roman" w:asciiTheme="minorEastAsia" w:hAnsiTheme="minorEastAsia" w:eastAsiaTheme="minorEastAsia"/>
              </w:rPr>
            </w:pPr>
          </w:p>
        </w:tc>
        <w:tc>
          <w:tcPr>
            <w:tcW w:w="775" w:type="dxa"/>
            <w:tcBorders>
              <w:bottom w:val="double" w:color="auto" w:sz="4" w:space="0"/>
            </w:tcBorders>
          </w:tcPr>
          <w:p>
            <w:pPr>
              <w:adjustRightInd w:val="0"/>
              <w:snapToGrid w:val="0"/>
              <w:spacing w:line="360" w:lineRule="auto"/>
              <w:jc w:val="center"/>
              <w:rPr>
                <w:rFonts w:cs="Times New Roman" w:asciiTheme="minorEastAsia" w:hAnsiTheme="minorEastAsia" w:eastAsiaTheme="minorEastAsia"/>
              </w:rPr>
            </w:pPr>
          </w:p>
        </w:tc>
        <w:tc>
          <w:tcPr>
            <w:tcW w:w="775" w:type="dxa"/>
            <w:tcBorders>
              <w:bottom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p>
        </w:tc>
        <w:tc>
          <w:tcPr>
            <w:tcW w:w="900" w:type="dxa"/>
            <w:tcBorders>
              <w:bottom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p>
        </w:tc>
        <w:tc>
          <w:tcPr>
            <w:tcW w:w="900" w:type="dxa"/>
            <w:tcBorders>
              <w:bottom w:val="double" w:color="auto" w:sz="4" w:space="0"/>
            </w:tcBorders>
          </w:tcPr>
          <w:p>
            <w:pPr>
              <w:adjustRightInd w:val="0"/>
              <w:snapToGrid w:val="0"/>
              <w:spacing w:line="360" w:lineRule="auto"/>
              <w:jc w:val="center"/>
              <w:rPr>
                <w:rFonts w:cs="Times New Roman" w:asciiTheme="minorEastAsia" w:hAnsiTheme="minorEastAsia" w:eastAsiaTheme="minorEastAsia"/>
              </w:rPr>
            </w:pPr>
          </w:p>
        </w:tc>
        <w:tc>
          <w:tcPr>
            <w:tcW w:w="1080" w:type="dxa"/>
            <w:tcBorders>
              <w:bottom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p>
        </w:tc>
        <w:tc>
          <w:tcPr>
            <w:tcW w:w="1080" w:type="dxa"/>
            <w:tcBorders>
              <w:bottom w:val="double" w:color="auto" w:sz="4" w:space="0"/>
            </w:tcBorders>
            <w:vAlign w:val="center"/>
          </w:tcPr>
          <w:p>
            <w:pPr>
              <w:adjustRightInd w:val="0"/>
              <w:snapToGrid w:val="0"/>
              <w:spacing w:line="360" w:lineRule="auto"/>
              <w:jc w:val="center"/>
              <w:rPr>
                <w:rFonts w:cs="Times New Roman" w:asciiTheme="minorEastAsia" w:hAnsiTheme="minorEastAsia" w:eastAsiaTheme="minorEastAsia"/>
              </w:rPr>
            </w:pPr>
          </w:p>
        </w:tc>
      </w:tr>
    </w:tbl>
    <w:p>
      <w:pPr>
        <w:spacing w:line="360" w:lineRule="exact"/>
        <w:ind w:firstLine="210" w:firstLineChars="100"/>
        <w:rPr>
          <w:rFonts w:cs="Times New Roman" w:asciiTheme="minorEastAsia" w:hAnsiTheme="minorEastAsia" w:eastAsiaTheme="minorEastAsia"/>
          <w:b/>
          <w:bCs/>
        </w:rPr>
      </w:pPr>
    </w:p>
    <w:p>
      <w:pPr>
        <w:adjustRightInd w:val="0"/>
        <w:snapToGrid w:val="0"/>
        <w:spacing w:line="360" w:lineRule="auto"/>
        <w:ind w:firstLine="315" w:firstLineChars="150"/>
        <w:rPr>
          <w:rFonts w:cs="Times New Roman" w:asciiTheme="minorEastAsia" w:hAnsiTheme="minorEastAsia" w:eastAsiaTheme="minorEastAsia"/>
          <w:u w:val="single"/>
        </w:rPr>
      </w:pPr>
      <w:r>
        <w:rPr>
          <w:rFonts w:hint="eastAsia" w:cs="宋体" w:asciiTheme="minorEastAsia" w:hAnsiTheme="minorEastAsia" w:eastAsiaTheme="minorEastAsia"/>
        </w:rPr>
        <w:t>报价金额合计：小写：</w:t>
      </w:r>
      <w:r>
        <w:rPr>
          <w:rFonts w:hint="eastAsia" w:cs="宋体" w:asciiTheme="minorEastAsia" w:hAnsiTheme="minorEastAsia" w:eastAsiaTheme="minorEastAsia"/>
          <w:u w:val="single"/>
        </w:rPr>
        <w:t xml:space="preserve">             </w:t>
      </w:r>
      <w:r>
        <w:rPr>
          <w:rFonts w:hint="eastAsia" w:cs="宋体" w:asciiTheme="minorEastAsia" w:hAnsiTheme="minorEastAsia" w:eastAsiaTheme="minorEastAsia"/>
        </w:rPr>
        <w:t>大写：</w:t>
      </w:r>
      <w:r>
        <w:rPr>
          <w:rFonts w:hint="eastAsia" w:cs="宋体" w:asciiTheme="minorEastAsia" w:hAnsiTheme="minorEastAsia" w:eastAsiaTheme="minorEastAsia"/>
          <w:u w:val="single"/>
        </w:rPr>
        <w:t xml:space="preserve">                  </w:t>
      </w:r>
    </w:p>
    <w:p>
      <w:pPr>
        <w:spacing w:line="360" w:lineRule="exact"/>
        <w:ind w:firstLine="1470" w:firstLineChars="700"/>
        <w:rPr>
          <w:rFonts w:cs="Times New Roman" w:asciiTheme="minorEastAsia" w:hAnsiTheme="minorEastAsia" w:eastAsiaTheme="minorEastAsia"/>
          <w:u w:val="single"/>
        </w:rPr>
      </w:pPr>
    </w:p>
    <w:p>
      <w:pPr>
        <w:adjustRightInd w:val="0"/>
        <w:snapToGrid w:val="0"/>
        <w:spacing w:line="360" w:lineRule="auto"/>
        <w:ind w:left="-88" w:leftChars="-42" w:firstLine="420" w:firstLineChars="200"/>
        <w:rPr>
          <w:rFonts w:cs="Times New Roman" w:asciiTheme="minorEastAsia" w:hAnsiTheme="minorEastAsia" w:eastAsiaTheme="minorEastAsia"/>
        </w:rPr>
      </w:pPr>
      <w:r>
        <w:rPr>
          <w:rFonts w:hint="eastAsia" w:cs="仿宋_GB2312" w:asciiTheme="minorEastAsia" w:hAnsiTheme="minorEastAsia" w:eastAsiaTheme="minorEastAsia"/>
        </w:rPr>
        <w:t>说明：品目代码是指货物《政府采购品目分类目录》中的分类代码，必须与采购文件的需求对应，否则报价有可能被拒绝。</w:t>
      </w:r>
      <w:r>
        <w:rPr>
          <w:rFonts w:hint="eastAsia" w:cs="楷体_GB2312" w:asciiTheme="minorEastAsia" w:hAnsiTheme="minorEastAsia" w:eastAsiaTheme="minorEastAsia"/>
        </w:rPr>
        <w:t>商品编码是指</w:t>
      </w:r>
      <w:r>
        <w:rPr>
          <w:rFonts w:hint="eastAsia" w:cs="楷体_GB2312" w:asciiTheme="minorEastAsia" w:hAnsiTheme="minorEastAsia" w:eastAsiaTheme="minorEastAsia"/>
          <w:color w:val="333333"/>
          <w:shd w:val="clear" w:color="auto" w:fill="FFFFFF"/>
        </w:rPr>
        <w:t>标准版</w:t>
      </w:r>
      <w:r>
        <w:rPr>
          <w:rFonts w:hint="eastAsia" w:cs="楷体_GB2312" w:asciiTheme="minorEastAsia" w:hAnsiTheme="minorEastAsia" w:eastAsiaTheme="minorEastAsia"/>
          <w:shd w:val="clear" w:color="auto" w:fill="FFFFFF"/>
        </w:rPr>
        <w:t>商品条码（</w:t>
      </w:r>
      <w:r>
        <w:rPr>
          <w:rFonts w:cs="楷体_GB2312" w:asciiTheme="minorEastAsia" w:hAnsiTheme="minorEastAsia" w:eastAsiaTheme="minorEastAsia"/>
          <w:shd w:val="clear" w:color="auto" w:fill="FFFFFF"/>
        </w:rPr>
        <w:t>EAN-13</w:t>
      </w:r>
      <w:r>
        <w:rPr>
          <w:rFonts w:hint="eastAsia" w:cs="楷体_GB2312" w:asciiTheme="minorEastAsia" w:hAnsiTheme="minorEastAsia" w:eastAsiaTheme="minorEastAsia"/>
          <w:color w:val="333333"/>
          <w:shd w:val="clear" w:color="auto" w:fill="FFFFFF"/>
        </w:rPr>
        <w:t>码）</w:t>
      </w:r>
      <w:r>
        <w:rPr>
          <w:rFonts w:hint="eastAsia" w:cs="宋体" w:asciiTheme="minorEastAsia" w:hAnsiTheme="minorEastAsia" w:eastAsiaTheme="minorEastAsia"/>
          <w:color w:val="333333"/>
          <w:shd w:val="clear" w:color="auto" w:fill="FFFFFF"/>
        </w:rPr>
        <w:t>。</w:t>
      </w:r>
      <w:r>
        <w:rPr>
          <w:rFonts w:hint="eastAsia" w:cs="仿宋_GB2312" w:asciiTheme="minorEastAsia" w:hAnsiTheme="minorEastAsia" w:eastAsiaTheme="minorEastAsia"/>
        </w:rPr>
        <w:t>品牌和制造厂商指产品的品牌和生产厂商的组织机构代码。中小企业是指制造厂商为“中型企业”或者“小型、微型企业”。</w:t>
      </w:r>
      <w:r>
        <w:rPr>
          <w:rFonts w:hint="eastAsia" w:cs="楷体_GB2312" w:asciiTheme="minorEastAsia" w:hAnsiTheme="minorEastAsia" w:eastAsiaTheme="minorEastAsia"/>
        </w:rPr>
        <w:t>政策功能</w:t>
      </w:r>
      <w:r>
        <w:rPr>
          <w:rFonts w:hint="eastAsia" w:cs="仿宋_GB2312" w:asciiTheme="minorEastAsia" w:hAnsiTheme="minorEastAsia" w:eastAsiaTheme="minorEastAsia"/>
        </w:rPr>
        <w:t>编码是指产品的中国环境标志认证证书编号、节能标志认证证书号、两型产品编号。</w:t>
      </w:r>
    </w:p>
    <w:p>
      <w:pPr>
        <w:spacing w:line="360" w:lineRule="exact"/>
        <w:ind w:firstLine="1470" w:firstLineChars="700"/>
        <w:rPr>
          <w:rFonts w:ascii="楷体_GB2312" w:eastAsia="楷体_GB2312" w:cs="Times New Roman"/>
          <w:b/>
          <w:bCs/>
        </w:rPr>
        <w:sectPr>
          <w:pgSz w:w="16838" w:h="11906" w:orient="landscape"/>
          <w:pgMar w:top="1797" w:right="1440" w:bottom="1797" w:left="1440" w:header="851" w:footer="992" w:gutter="0"/>
          <w:pgBorders>
            <w:top w:val="none" w:sz="0" w:space="0"/>
            <w:left w:val="none" w:sz="0" w:space="0"/>
            <w:bottom w:val="none" w:sz="0" w:space="0"/>
            <w:right w:val="none" w:sz="0" w:space="0"/>
          </w:pgBorders>
          <w:cols w:space="425" w:num="1"/>
          <w:docGrid w:type="linesAndChars" w:linePitch="312" w:charSpace="0"/>
        </w:sectPr>
      </w:pPr>
    </w:p>
    <w:p>
      <w:pPr>
        <w:spacing w:line="360" w:lineRule="exact"/>
        <w:rPr>
          <w:rFonts w:ascii="楷体_GB2312" w:eastAsia="楷体_GB2312" w:cs="Times New Roman"/>
          <w:b/>
          <w:bCs/>
        </w:rPr>
      </w:pPr>
    </w:p>
    <w:p>
      <w:pPr>
        <w:spacing w:line="360" w:lineRule="auto"/>
        <w:jc w:val="center"/>
        <w:rPr>
          <w:rFonts w:ascii="黑体" w:hAnsi="黑体" w:eastAsia="黑体" w:cs="黑体"/>
          <w:b/>
          <w:bCs/>
          <w:sz w:val="32"/>
          <w:szCs w:val="32"/>
        </w:rPr>
      </w:pPr>
    </w:p>
    <w:p>
      <w:pPr>
        <w:spacing w:line="360" w:lineRule="auto"/>
        <w:jc w:val="center"/>
        <w:rPr>
          <w:rFonts w:ascii="黑体" w:hAnsi="黑体" w:eastAsia="黑体" w:cs="Times New Roman"/>
          <w:b/>
          <w:bCs/>
          <w:sz w:val="32"/>
          <w:szCs w:val="32"/>
        </w:rPr>
      </w:pPr>
      <w:r>
        <w:rPr>
          <w:rFonts w:hint="eastAsia" w:ascii="黑体" w:hAnsi="黑体" w:eastAsia="黑体" w:cs="黑体"/>
          <w:b/>
          <w:bCs/>
          <w:sz w:val="32"/>
          <w:szCs w:val="32"/>
        </w:rPr>
        <w:t>八、供应商认为需要提供的其它资料</w:t>
      </w:r>
    </w:p>
    <w:p>
      <w:pPr>
        <w:spacing w:line="360" w:lineRule="auto"/>
        <w:rPr>
          <w:rFonts w:ascii="黑体" w:hAnsi="黑体" w:eastAsia="黑体" w:cs="Times New Roman"/>
          <w:b/>
          <w:bCs/>
          <w:sz w:val="32"/>
          <w:szCs w:val="32"/>
        </w:rPr>
      </w:pPr>
    </w:p>
    <w:p>
      <w:pPr>
        <w:spacing w:line="360" w:lineRule="auto"/>
        <w:rPr>
          <w:rFonts w:ascii="黑体" w:hAnsi="黑体" w:eastAsia="黑体" w:cs="Times New Roman"/>
          <w:b/>
          <w:bCs/>
          <w:sz w:val="32"/>
          <w:szCs w:val="32"/>
        </w:rPr>
      </w:pPr>
    </w:p>
    <w:p>
      <w:pPr>
        <w:spacing w:line="360" w:lineRule="auto"/>
        <w:jc w:val="center"/>
        <w:rPr>
          <w:rFonts w:ascii="黑体" w:hAnsi="黑体" w:eastAsia="黑体" w:cs="Times New Roman"/>
          <w:b/>
          <w:bCs/>
          <w:sz w:val="32"/>
          <w:szCs w:val="32"/>
        </w:rPr>
      </w:pPr>
      <w:r>
        <w:rPr>
          <w:rFonts w:hint="eastAsia" w:ascii="黑体" w:hAnsi="黑体" w:eastAsia="黑体" w:cs="黑体"/>
          <w:b/>
          <w:bCs/>
          <w:sz w:val="32"/>
          <w:szCs w:val="32"/>
        </w:rPr>
        <w:t>九、最后报价</w:t>
      </w:r>
    </w:p>
    <w:p>
      <w:pPr>
        <w:ind w:left="-88"/>
        <w:rPr>
          <w:rFonts w:ascii="宋体" w:cs="Times New Roman"/>
        </w:rPr>
      </w:pPr>
    </w:p>
    <w:p>
      <w:pPr>
        <w:spacing w:line="360" w:lineRule="auto"/>
        <w:ind w:firstLine="640"/>
        <w:rPr>
          <w:rFonts w:ascii="黑体" w:hAnsi="黑体" w:eastAsia="黑体" w:cs="黑体"/>
          <w:b/>
          <w:bCs/>
          <w:sz w:val="32"/>
          <w:szCs w:val="32"/>
        </w:rPr>
      </w:pPr>
      <w:r>
        <w:rPr>
          <w:rFonts w:hint="eastAsia" w:ascii="宋体" w:hAnsi="宋体" w:cs="宋体"/>
          <w:sz w:val="32"/>
          <w:szCs w:val="32"/>
        </w:rPr>
        <w:t>说明：最后报价按第二章谈判须知第</w:t>
      </w:r>
      <w:r>
        <w:rPr>
          <w:rFonts w:ascii="仿宋_GB2312" w:hAnsi="仿宋_GB2312" w:eastAsia="仿宋_GB2312" w:cs="仿宋_GB2312"/>
          <w:sz w:val="32"/>
          <w:szCs w:val="32"/>
        </w:rPr>
        <w:t>29</w:t>
      </w:r>
      <w:r>
        <w:rPr>
          <w:rFonts w:hint="eastAsia" w:ascii="宋体" w:hAnsi="宋体" w:cs="宋体"/>
          <w:sz w:val="32"/>
          <w:szCs w:val="32"/>
        </w:rPr>
        <w:t>条规定提供，格式按附件9。</w:t>
      </w: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spacing w:line="360" w:lineRule="auto"/>
        <w:jc w:val="center"/>
        <w:rPr>
          <w:rFonts w:ascii="黑体" w:hAnsi="黑体" w:eastAsia="黑体" w:cs="黑体"/>
          <w:sz w:val="32"/>
          <w:szCs w:val="32"/>
        </w:rPr>
      </w:pPr>
    </w:p>
    <w:p>
      <w:pPr>
        <w:rPr>
          <w:rFonts w:ascii="Times New Roman" w:hAnsi="Times New Roman" w:cs="Times New Roman"/>
        </w:rPr>
      </w:pPr>
    </w:p>
    <w:sectPr>
      <w:pgSz w:w="11906" w:h="16838"/>
      <w:pgMar w:top="1440" w:right="1800" w:bottom="1440" w:left="1800" w:header="720" w:footer="720" w:gutter="0"/>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_GBK">
    <w:altName w:val="Times New Roman"/>
    <w:panose1 w:val="00000000000000000000"/>
    <w:charset w:val="00"/>
    <w:family w:val="auto"/>
    <w:pitch w:val="default"/>
    <w:sig w:usb0="00000000" w:usb1="00000000" w:usb2="00000000" w:usb3="00000000" w:csb0="00000001" w:csb1="00000000"/>
  </w:font>
  <w:font w:name="华文中宋">
    <w:altName w:val="宋体"/>
    <w:panose1 w:val="00000000000000000000"/>
    <w:charset w:val="86"/>
    <w:family w:val="auto"/>
    <w:pitch w:val="default"/>
    <w:sig w:usb0="00000000" w:usb1="00000000" w:usb2="00000010" w:usb3="00000000" w:csb0="0004009F" w:csb1="00000000"/>
  </w:font>
  <w:font w:name="Arial">
    <w:panose1 w:val="020B0604020202020204"/>
    <w:charset w:val="00"/>
    <w:family w:val="swiss"/>
    <w:pitch w:val="default"/>
    <w:sig w:usb0="E0002A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Segoe UI Symbol">
    <w:panose1 w:val="020B0502040204020203"/>
    <w:charset w:val="00"/>
    <w:family w:val="swiss"/>
    <w:pitch w:val="default"/>
    <w:sig w:usb0="8000006F" w:usb1="1200FBEF" w:usb2="0004C000" w:usb3="00000000" w:csb0="00000001" w:csb1="40000000"/>
  </w:font>
  <w:font w:name="_5b8b_4f53">
    <w:altName w:val="Courier New"/>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80F3C52" w:usb2="00000016" w:usb3="00000000" w:csb0="0004001F" w:csb1="00000000"/>
  </w:font>
  <w:font w:name="仿宋_GB2312">
    <w:altName w:val="仿宋"/>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Arial Black">
    <w:panose1 w:val="020B0A04020102020204"/>
    <w:charset w:val="00"/>
    <w:family w:val="swiss"/>
    <w:pitch w:val="default"/>
    <w:sig w:usb0="00000287" w:usb1="00000000" w:usb2="00000000" w:usb3="00000000" w:csb0="2000009F" w:csb1="DFD70000"/>
  </w:font>
  <w:font w:name="monospace">
    <w:altName w:val="Courier New"/>
    <w:panose1 w:val="00000000000000000000"/>
    <w:charset w:val="00"/>
    <w:family w:val="auto"/>
    <w:pitch w:val="default"/>
    <w:sig w:usb0="00000000" w:usb1="00000000" w:usb2="00000000" w:usb3="00000000" w:csb0="00040001" w:csb1="00000000"/>
  </w:font>
  <w:font w:name="方正小标宋_GBK">
    <w:altName w:val="宋体"/>
    <w:panose1 w:val="03000509000000000000"/>
    <w:charset w:val="86"/>
    <w:family w:val="script"/>
    <w:pitch w:val="default"/>
    <w:sig w:usb0="00000000" w:usb1="00000000" w:usb2="00000010" w:usb3="00000000" w:csb0="00040000" w:csb1="00000000"/>
  </w:font>
  <w:font w:name="_x000B__x000C_">
    <w:altName w:val="Times New Roman"/>
    <w:panose1 w:val="00000000000000000000"/>
    <w:charset w:val="00"/>
    <w:family w:val="roman"/>
    <w:pitch w:val="default"/>
    <w:sig w:usb0="00000000" w:usb1="00000000" w:usb2="00000000" w:usb3="00000000" w:csb0="00040001" w:csb1="00000000"/>
  </w:font>
  <w:font w:name="隶书">
    <w:altName w:val="微软雅黑"/>
    <w:panose1 w:val="02010509060101010101"/>
    <w:charset w:val="86"/>
    <w:family w:val="modern"/>
    <w:pitch w:val="default"/>
    <w:sig w:usb0="00000000" w:usb1="00000000" w:usb2="00000000" w:usb3="00000000" w:csb0="00040000" w:csb1="00000000"/>
  </w:font>
  <w:font w:name="华文中宋">
    <w:altName w:val="宋体"/>
    <w:panose1 w:val="00000000000000000000"/>
    <w:charset w:val="00"/>
    <w:family w:val="auto"/>
    <w:pitch w:val="default"/>
    <w:sig w:usb0="00000000" w:usb1="00000000" w:usb2="00000000" w:usb3="00000000" w:csb0="00000000" w:csb1="00000000"/>
  </w:font>
  <w:font w:name="新宋体">
    <w:panose1 w:val="02010609030101010101"/>
    <w:charset w:val="86"/>
    <w:family w:val="auto"/>
    <w:pitch w:val="default"/>
    <w:sig w:usb0="00000003" w:usb1="288F0000" w:usb2="00000006" w:usb3="00000000" w:csb0="00040001" w:csb1="00000000"/>
  </w:font>
  <w:font w:name="方正兰亭超细黑简体">
    <w:panose1 w:val="02000000000000000000"/>
    <w:charset w:val="86"/>
    <w:family w:val="auto"/>
    <w:pitch w:val="default"/>
    <w:sig w:usb0="00000001" w:usb1="08000000" w:usb2="00000000" w:usb3="00000000" w:csb0="00040000" w:csb1="00000000"/>
  </w:font>
  <w:font w:name="Batang">
    <w:panose1 w:val="02030600000101010101"/>
    <w:charset w:val="81"/>
    <w:family w:val="auto"/>
    <w:pitch w:val="default"/>
    <w:sig w:usb0="B00002AF" w:usb1="69D77CFB" w:usb2="00000030" w:usb3="00000000" w:csb0="4008009F" w:csb1="DFD70000"/>
  </w:font>
  <w:font w:name="仿宋_GB2312">
    <w:altName w:val="仿宋"/>
    <w:panose1 w:val="00000000000000000000"/>
    <w:charset w:val="00"/>
    <w:family w:val="auto"/>
    <w:pitch w:val="default"/>
    <w:sig w:usb0="00000000" w:usb1="00000000" w:usb2="00000000" w:usb3="00000000" w:csb0="00000000" w:csb1="00000000"/>
  </w:font>
  <w:font w:name="华文新魏">
    <w:altName w:val="宋体"/>
    <w:panose1 w:val="02010800040101010101"/>
    <w:charset w:val="86"/>
    <w:family w:val="auto"/>
    <w:pitch w:val="default"/>
    <w:sig w:usb0="00000000" w:usb1="00000000" w:usb2="00000010" w:usb3="00000000" w:csb0="00040000" w:csb1="00000000"/>
  </w:font>
  <w:font w:name="Helvetica">
    <w:altName w:val="Arial"/>
    <w:panose1 w:val="020B0604020202020204"/>
    <w:charset w:val="00"/>
    <w:family w:val="swiss"/>
    <w:pitch w:val="default"/>
    <w:sig w:usb0="00000000" w:usb1="00000000" w:usb2="00000000" w:usb3="00000000" w:csb0="00040001" w:csb1="00000000"/>
  </w:font>
  <w:font w:name="RomanD">
    <w:altName w:val="Courier New"/>
    <w:panose1 w:val="00000400000000000000"/>
    <w:charset w:val="00"/>
    <w:family w:val="auto"/>
    <w:pitch w:val="default"/>
    <w:sig w:usb0="00000000" w:usb1="00000000" w:usb2="00000000" w:usb3="00000000" w:csb0="000001FF" w:csb1="00000000"/>
  </w:font>
  <w:font w:name="MingLiU">
    <w:panose1 w:val="02020509000000000000"/>
    <w:charset w:val="88"/>
    <w:family w:val="modern"/>
    <w:pitch w:val="default"/>
    <w:sig w:usb0="A00002FF" w:usb1="28CFFCFA" w:usb2="00000016" w:usb3="00000000" w:csb0="00100001" w:csb1="00000000"/>
  </w:font>
  <w:font w:name="Arial Unicode MS">
    <w:altName w:val="Arial"/>
    <w:panose1 w:val="020B0604020202020204"/>
    <w:charset w:val="00"/>
    <w:family w:val="roman"/>
    <w:pitch w:val="default"/>
    <w:sig w:usb0="00000000" w:usb1="00000000" w:usb2="00000000" w:usb3="00000000" w:csb0="00000001" w:csb1="00000000"/>
  </w:font>
  <w:font w:name="华文宋体">
    <w:altName w:val="宋体"/>
    <w:panose1 w:val="02010600040101010101"/>
    <w:charset w:val="86"/>
    <w:family w:val="auto"/>
    <w:pitch w:val="default"/>
    <w:sig w:usb0="00000000" w:usb1="00000000" w:usb2="00000000" w:usb3="00000000" w:csb0="0004009F" w:csb1="DFD70000"/>
  </w:font>
  <w:font w:name="Segoe Print">
    <w:panose1 w:val="02000600000000000000"/>
    <w:charset w:val="00"/>
    <w:family w:val="auto"/>
    <w:pitch w:val="default"/>
    <w:sig w:usb0="0000028F" w:usb1="00000000" w:usb2="00000000" w:usb3="00000000" w:csb0="2000009F" w:csb1="47010000"/>
  </w:font>
  <w:font w:name="BatangChe">
    <w:panose1 w:val="02030609000101010101"/>
    <w:charset w:val="81"/>
    <w:family w:val="auto"/>
    <w:pitch w:val="default"/>
    <w:sig w:usb0="B00002AF" w:usb1="69D77CFB" w:usb2="00000030" w:usb3="00000000" w:csb0="4008009F" w:csb1="DFD70000"/>
  </w:font>
  <w:font w:name="DFKai-SB">
    <w:panose1 w:val="03000509000000000000"/>
    <w:charset w:val="88"/>
    <w:family w:val="auto"/>
    <w:pitch w:val="default"/>
    <w:sig w:usb0="00000003" w:usb1="082E0000" w:usb2="00000016" w:usb3="00000000" w:csb0="00100001" w:csb1="00000000"/>
  </w:font>
  <w:font w:name="Dotum">
    <w:panose1 w:val="020B0600000101010101"/>
    <w:charset w:val="81"/>
    <w:family w:val="auto"/>
    <w:pitch w:val="default"/>
    <w:sig w:usb0="B00002AF" w:usb1="69D77CFB" w:usb2="00000030" w:usb3="00000000" w:csb0="4008009F" w:csb1="DFD70000"/>
  </w:font>
  <w:font w:name="DotumChe">
    <w:panose1 w:val="020B0609000101010101"/>
    <w:charset w:val="81"/>
    <w:family w:val="auto"/>
    <w:pitch w:val="default"/>
    <w:sig w:usb0="B00002AF" w:usb1="69D77CFB" w:usb2="00000030" w:usb3="00000000" w:csb0="4008009F" w:csb1="DFD70000"/>
  </w:font>
  <w:font w:name="Gulim">
    <w:panose1 w:val="020B0600000101010101"/>
    <w:charset w:val="81"/>
    <w:family w:val="auto"/>
    <w:pitch w:val="default"/>
    <w:sig w:usb0="B00002AF" w:usb1="69D77CFB" w:usb2="00000030" w:usb3="00000000" w:csb0="4008009F" w:csb1="DFD70000"/>
  </w:font>
  <w:font w:name="GulimChe">
    <w:panose1 w:val="020B0609000101010101"/>
    <w:charset w:val="81"/>
    <w:family w:val="auto"/>
    <w:pitch w:val="default"/>
    <w:sig w:usb0="B00002AF" w:usb1="69D77CFB" w:usb2="00000030" w:usb3="00000000" w:csb0="4008009F" w:csb1="DFD70000"/>
  </w:font>
  <w:font w:name="Gungsuh">
    <w:panose1 w:val="02030600000101010101"/>
    <w:charset w:val="81"/>
    <w:family w:val="auto"/>
    <w:pitch w:val="default"/>
    <w:sig w:usb0="B00002AF" w:usb1="69D77CFB" w:usb2="00000030" w:usb3="00000000" w:csb0="4008009F" w:csb1="DFD70000"/>
  </w:font>
  <w:font w:name="GungsuhChe">
    <w:panose1 w:val="02030609000101010101"/>
    <w:charset w:val="81"/>
    <w:family w:val="auto"/>
    <w:pitch w:val="default"/>
    <w:sig w:usb0="B00002AF" w:usb1="69D77CFB" w:usb2="00000030" w:usb3="00000000" w:csb0="4008009F" w:csb1="DFD70000"/>
  </w:font>
  <w:font w:name="Malgun Gothic">
    <w:panose1 w:val="020B0503020000020004"/>
    <w:charset w:val="81"/>
    <w:family w:val="auto"/>
    <w:pitch w:val="default"/>
    <w:sig w:usb0="900002AF" w:usb1="01D77CFB" w:usb2="00000012" w:usb3="00000000" w:csb0="00080001" w:csb1="00000000"/>
  </w:font>
  <w:font w:name="方正小标宋简体">
    <w:altName w:val="微软雅黑"/>
    <w:panose1 w:val="02010601030101010101"/>
    <w:charset w:val="86"/>
    <w:family w:val="auto"/>
    <w:pitch w:val="default"/>
    <w:sig w:usb0="00000000" w:usb1="00000000" w:usb2="00000010" w:usb3="00000000" w:csb0="00040000" w:csb1="00000000"/>
  </w:font>
  <w:font w:name="方正小标宋简体">
    <w:altName w:val="微软雅黑"/>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widowControl w:val="0"/>
      <w:pBdr>
        <w:top w:val="single" w:color="auto" w:sz="4" w:space="1"/>
        <w:left w:val="none" w:color="auto" w:sz="0" w:space="4"/>
        <w:bottom w:val="none" w:color="auto" w:sz="0" w:space="1"/>
        <w:right w:val="none" w:color="auto" w:sz="0" w:space="4"/>
        <w:between w:val="none" w:color="auto" w:sz="0" w:space="0"/>
      </w:pBdr>
      <w:tabs>
        <w:tab w:val="left" w:pos="720"/>
      </w:tabs>
      <w:snapToGrid w:val="0"/>
      <w:ind w:firstLine="180" w:firstLineChars="100"/>
      <w:jc w:val="left"/>
      <w:rPr>
        <w:rFonts w:hint="eastAsia"/>
      </w:rPr>
    </w:pPr>
    <w:r>
      <w:rPr>
        <w:rFonts w:hint="eastAsia" w:ascii="宋体" w:hAnsi="宋体" w:cs="宋体"/>
        <w:color w:val="000000"/>
        <w:kern w:val="0"/>
        <w:szCs w:val="21"/>
      </w:rPr>
      <w:t>湖南</w:t>
    </w:r>
    <w:r>
      <w:rPr>
        <w:rFonts w:hint="eastAsia" w:ascii="宋体" w:hAnsi="宋体" w:cs="宋体"/>
        <w:color w:val="000000"/>
        <w:kern w:val="0"/>
        <w:szCs w:val="21"/>
        <w:lang w:eastAsia="zh-CN"/>
      </w:rPr>
      <w:t>省湘咨工程咨询</w:t>
    </w:r>
    <w:r>
      <w:rPr>
        <w:rFonts w:hint="eastAsia" w:ascii="宋体" w:hAnsi="宋体" w:cs="宋体"/>
        <w:color w:val="000000"/>
        <w:kern w:val="0"/>
        <w:szCs w:val="21"/>
      </w:rPr>
      <w:t>有限</w:t>
    </w:r>
    <w:r>
      <w:rPr>
        <w:rFonts w:hint="eastAsia" w:ascii="宋体" w:hAnsi="宋体" w:cs="宋体"/>
        <w:color w:val="000000"/>
        <w:kern w:val="0"/>
        <w:szCs w:val="21"/>
        <w:lang w:eastAsia="zh-CN"/>
      </w:rPr>
      <w:t>责任</w:t>
    </w:r>
    <w:r>
      <w:rPr>
        <w:rFonts w:hint="eastAsia" w:ascii="宋体" w:hAnsi="宋体" w:cs="宋体"/>
        <w:color w:val="000000"/>
        <w:kern w:val="0"/>
        <w:szCs w:val="21"/>
      </w:rPr>
      <w:t>公司</w:t>
    </w:r>
    <w:r>
      <w:rPr>
        <w:rFonts w:hint="eastAsia"/>
      </w:rPr>
      <w:t xml:space="preserve">          地址：</w:t>
    </w:r>
    <w:r>
      <w:rPr>
        <w:rFonts w:hint="eastAsia" w:ascii="宋体" w:hAnsi="宋体" w:cs="宋体"/>
        <w:color w:val="000000"/>
        <w:kern w:val="0"/>
        <w:szCs w:val="21"/>
        <w:lang w:eastAsia="zh-CN"/>
      </w:rPr>
      <w:t>岳阳市岳阳楼区建湘路古井社区综合办公楼三楼</w:t>
    </w:r>
    <w:r>
      <w:rPr>
        <w:rFonts w:hint="eastAsia"/>
      </w:rPr>
      <w:t xml:space="preserve">  </w:t>
    </w:r>
  </w:p>
  <w:p>
    <w:pPr>
      <w:pStyle w:val="6"/>
      <w:tabs>
        <w:tab w:val="left" w:pos="180"/>
      </w:tabs>
      <w:ind w:firstLine="180" w:firstLineChars="100"/>
      <w:rPr>
        <w:rFonts w:hint="eastAsia"/>
      </w:rPr>
    </w:pPr>
    <w:r>
      <w:rPr>
        <w:rFonts w:hint="eastAsia"/>
      </w:rPr>
      <w:t>电话：0730－8</w:t>
    </w:r>
    <w:r>
      <w:rPr>
        <w:rFonts w:hint="eastAsia"/>
        <w:lang w:val="en-US" w:eastAsia="zh-CN"/>
      </w:rPr>
      <w:t xml:space="preserve">213558 </w:t>
    </w:r>
    <w:r>
      <w:rPr>
        <w:rFonts w:hint="eastAsia"/>
      </w:rPr>
      <w:t xml:space="preserve">                    传真：0730－8</w:t>
    </w:r>
    <w:r>
      <w:rPr>
        <w:rFonts w:hint="eastAsia"/>
        <w:lang w:val="en-US" w:eastAsia="zh-CN"/>
      </w:rPr>
      <w:t>213558</w:t>
    </w:r>
  </w:p>
  <w:p>
    <w:pPr>
      <w:pStyle w:val="6"/>
      <w:framePr w:wrap="around" w:vAnchor="text" w:hAnchor="page" w:x="9901" w:y="18"/>
      <w:rPr>
        <w:rStyle w:val="12"/>
      </w:rPr>
    </w:pPr>
    <w:r>
      <w:fldChar w:fldCharType="begin"/>
    </w:r>
    <w:r>
      <w:rPr>
        <w:rStyle w:val="12"/>
      </w:rPr>
      <w:instrText xml:space="preserve">PAGE  </w:instrText>
    </w:r>
    <w:r>
      <w:fldChar w:fldCharType="separate"/>
    </w:r>
    <w:r>
      <w:rPr>
        <w:rStyle w:val="12"/>
      </w:rPr>
      <w:t>37</w:t>
    </w:r>
    <w:r>
      <w:fldChar w:fldCharType="end"/>
    </w:r>
  </w:p>
  <w:p>
    <w:pPr>
      <w:pStyle w:val="6"/>
      <w:ind w:firstLine="180" w:firstLineChars="100"/>
    </w:pPr>
    <w:r>
      <w:rPr>
        <w:rFonts w:hint="eastAsia"/>
      </w:rPr>
      <w:t xml:space="preserve">邮编：414000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jc w:val="right"/>
      <w:rPr>
        <w:rFonts w:hint="eastAsia" w:eastAsia="宋体"/>
        <w:lang w:eastAsia="zh-CN"/>
      </w:rPr>
    </w:pPr>
    <w:r>
      <w:rPr>
        <w:rFonts w:hint="eastAsia"/>
        <w:lang w:eastAsia="zh-CN"/>
      </w:rPr>
      <w:t>谈判文件</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552568"/>
    <w:multiLevelType w:val="multilevel"/>
    <w:tmpl w:val="14552568"/>
    <w:lvl w:ilvl="0" w:tentative="0">
      <w:start w:val="0"/>
      <w:numFmt w:val="bullet"/>
      <w:lvlText w:val="□"/>
      <w:lvlJc w:val="left"/>
      <w:pPr>
        <w:ind w:left="360" w:hanging="360"/>
      </w:pPr>
      <w:rPr>
        <w:rFonts w:hint="eastAsia" w:ascii="宋体" w:hAnsi="宋体" w:eastAsia="宋体" w:cs="Calibri"/>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
    <w:nsid w:val="45CE32B9"/>
    <w:multiLevelType w:val="multilevel"/>
    <w:tmpl w:val="45CE32B9"/>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583BE2A6"/>
    <w:multiLevelType w:val="singleLevel"/>
    <w:tmpl w:val="583BE2A6"/>
    <w:lvl w:ilvl="0" w:tentative="0">
      <w:start w:val="8"/>
      <w:numFmt w:val="chineseCounting"/>
      <w:suff w:val="nothing"/>
      <w:lvlText w:val="%1、"/>
      <w:lvlJc w:val="left"/>
    </w:lvl>
  </w:abstractNum>
  <w:abstractNum w:abstractNumId="3">
    <w:nsid w:val="5902FA17"/>
    <w:multiLevelType w:val="singleLevel"/>
    <w:tmpl w:val="5902FA17"/>
    <w:lvl w:ilvl="0" w:tentative="0">
      <w:start w:val="1"/>
      <w:numFmt w:val="decimal"/>
      <w:suff w:val="nothing"/>
      <w:lvlText w:val="（%1）"/>
      <w:lvlJc w:val="left"/>
      <w:pPr>
        <w:ind w:left="0" w:firstLine="0"/>
      </w:pPr>
    </w:lvl>
  </w:abstractNum>
  <w:abstractNum w:abstractNumId="4">
    <w:nsid w:val="59030418"/>
    <w:multiLevelType w:val="singleLevel"/>
    <w:tmpl w:val="59030418"/>
    <w:lvl w:ilvl="0" w:tentative="0">
      <w:start w:val="1"/>
      <w:numFmt w:val="decimal"/>
      <w:suff w:val="nothing"/>
      <w:lvlText w:val="%1、"/>
      <w:lvlJc w:val="left"/>
      <w:pPr>
        <w:ind w:left="0" w:firstLine="0"/>
      </w:pPr>
    </w:lvl>
  </w:abstractNum>
  <w:abstractNum w:abstractNumId="5">
    <w:nsid w:val="59380B29"/>
    <w:multiLevelType w:val="multilevel"/>
    <w:tmpl w:val="59380B29"/>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9F6DBB3"/>
    <w:multiLevelType w:val="singleLevel"/>
    <w:tmpl w:val="59F6DBB3"/>
    <w:lvl w:ilvl="0" w:tentative="0">
      <w:start w:val="4"/>
      <w:numFmt w:val="chineseCounting"/>
      <w:suff w:val="space"/>
      <w:lvlText w:val="第%1章"/>
      <w:lvlJc w:val="left"/>
    </w:lvl>
  </w:abstractNum>
  <w:abstractNum w:abstractNumId="7">
    <w:nsid w:val="5A051A01"/>
    <w:multiLevelType w:val="singleLevel"/>
    <w:tmpl w:val="5A051A01"/>
    <w:lvl w:ilvl="0" w:tentative="0">
      <w:start w:val="5"/>
      <w:numFmt w:val="chineseCounting"/>
      <w:suff w:val="nothing"/>
      <w:lvlText w:val="（%1）"/>
      <w:lvlJc w:val="left"/>
    </w:lvl>
  </w:abstractNum>
  <w:abstractNum w:abstractNumId="8">
    <w:nsid w:val="5A0BA9CB"/>
    <w:multiLevelType w:val="singleLevel"/>
    <w:tmpl w:val="5A0BA9CB"/>
    <w:lvl w:ilvl="0" w:tentative="0">
      <w:start w:val="1"/>
      <w:numFmt w:val="chineseCounting"/>
      <w:suff w:val="nothing"/>
      <w:lvlText w:val="（%1）"/>
      <w:lvlJc w:val="left"/>
    </w:lvl>
  </w:abstractNum>
  <w:num w:numId="1">
    <w:abstractNumId w:val="1"/>
  </w:num>
  <w:num w:numId="2">
    <w:abstractNumId w:val="0"/>
  </w:num>
  <w:num w:numId="3">
    <w:abstractNumId w:val="3"/>
    <w:lvlOverride w:ilvl="0">
      <w:startOverride w:val="1"/>
    </w:lvlOverride>
  </w:num>
  <w:num w:numId="4">
    <w:abstractNumId w:val="4"/>
    <w:lvlOverride w:ilvl="0">
      <w:startOverride w:val="1"/>
    </w:lvlOverride>
  </w:num>
  <w:num w:numId="5">
    <w:abstractNumId w:val="5"/>
  </w:num>
  <w:num w:numId="6">
    <w:abstractNumId w:val="6"/>
  </w:num>
  <w:num w:numId="7">
    <w:abstractNumId w:val="8"/>
  </w:num>
  <w:num w:numId="8">
    <w:abstractNumId w:val="7"/>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attachedTemplate r:id="rId1"/>
  <w:documentProtection w:enforcement="0"/>
  <w:defaultTabStop w:val="420"/>
  <w:doNotHyphenateCaps/>
  <w:displayHorizontalDrawingGridEvery w:val="1"/>
  <w:displayVerticalDrawingGridEvery w:val="1"/>
  <w:noPunctuationKerning w:val="1"/>
  <w:characterSpacingControl w:val="doNotCompress"/>
  <w:noLineBreaksAfter w:lang="zh-CN" w:val="$([{£¥·‘“〈《「『【〔〖〝﹙﹛﹝＄（．［｛￡￥"/>
  <w:noLineBreaksBefore w:lang="zh-CN" w:val="!%),.:;&gt;?]}¢¨°·ˇˉ―‖’”…‰′″›℃∶、。〃〉》」』】〕〗〞︶︺︾﹀﹄﹚﹜﹞！＂％＇），．：；？］｀｜｝～￠"/>
  <w:doNotValidateAgainstSchema/>
  <w:doNotDemarcateInvalidXml/>
  <w:compat>
    <w:balanceSingleByteDoubleByteWidth/>
    <w:ulTrailSpace/>
    <w:doNotExpandShiftReturn/>
    <w:adjustLineHeightInTable/>
    <w:doNotWrapTextWithPunct/>
    <w:doNotUseEastAsianBreakRules/>
    <w:useFELayout/>
    <w:doNotUseIndentAsNumberingTabStop/>
    <w:useAltKinsokuLineBreakRules/>
    <w:underlineTabInNumList/>
    <w:compatSetting w:name="compatibilityMode" w:uri="http://schemas.microsoft.com/office/word" w:val="12"/>
  </w:compat>
  <w:rsids>
    <w:rsidRoot w:val="00172A27"/>
    <w:rsid w:val="00006BE1"/>
    <w:rsid w:val="00007B93"/>
    <w:rsid w:val="00036E33"/>
    <w:rsid w:val="00040770"/>
    <w:rsid w:val="00060300"/>
    <w:rsid w:val="00067823"/>
    <w:rsid w:val="00071E26"/>
    <w:rsid w:val="00076F87"/>
    <w:rsid w:val="0008463C"/>
    <w:rsid w:val="000878F3"/>
    <w:rsid w:val="0009129D"/>
    <w:rsid w:val="000A56F7"/>
    <w:rsid w:val="000D29CC"/>
    <w:rsid w:val="000E02F1"/>
    <w:rsid w:val="000E4043"/>
    <w:rsid w:val="000E7A6E"/>
    <w:rsid w:val="00110FA6"/>
    <w:rsid w:val="00114BA0"/>
    <w:rsid w:val="00134C56"/>
    <w:rsid w:val="001434FF"/>
    <w:rsid w:val="00147B11"/>
    <w:rsid w:val="00162720"/>
    <w:rsid w:val="00171A7B"/>
    <w:rsid w:val="001823AF"/>
    <w:rsid w:val="00184A46"/>
    <w:rsid w:val="00192457"/>
    <w:rsid w:val="001A18C2"/>
    <w:rsid w:val="001A5E3E"/>
    <w:rsid w:val="001C30CE"/>
    <w:rsid w:val="001D2EF2"/>
    <w:rsid w:val="001E5498"/>
    <w:rsid w:val="001F7D55"/>
    <w:rsid w:val="0020272F"/>
    <w:rsid w:val="00204D6F"/>
    <w:rsid w:val="002151E0"/>
    <w:rsid w:val="00231C03"/>
    <w:rsid w:val="00257354"/>
    <w:rsid w:val="00264517"/>
    <w:rsid w:val="00275F11"/>
    <w:rsid w:val="00294B0B"/>
    <w:rsid w:val="00294E7A"/>
    <w:rsid w:val="002A0C3F"/>
    <w:rsid w:val="002D62CC"/>
    <w:rsid w:val="002D7885"/>
    <w:rsid w:val="002E1C53"/>
    <w:rsid w:val="002E2B32"/>
    <w:rsid w:val="002E3CF3"/>
    <w:rsid w:val="002E6A1C"/>
    <w:rsid w:val="002F1418"/>
    <w:rsid w:val="00325B69"/>
    <w:rsid w:val="00333B90"/>
    <w:rsid w:val="00345B98"/>
    <w:rsid w:val="0035035B"/>
    <w:rsid w:val="00352708"/>
    <w:rsid w:val="00355A9C"/>
    <w:rsid w:val="0035752E"/>
    <w:rsid w:val="00362831"/>
    <w:rsid w:val="003A7E9E"/>
    <w:rsid w:val="003B2958"/>
    <w:rsid w:val="003B3925"/>
    <w:rsid w:val="003D59D7"/>
    <w:rsid w:val="003E4E38"/>
    <w:rsid w:val="00403AF4"/>
    <w:rsid w:val="004157D6"/>
    <w:rsid w:val="00421DC2"/>
    <w:rsid w:val="004220E4"/>
    <w:rsid w:val="00424410"/>
    <w:rsid w:val="00425C91"/>
    <w:rsid w:val="004425B6"/>
    <w:rsid w:val="00445024"/>
    <w:rsid w:val="00446590"/>
    <w:rsid w:val="00457738"/>
    <w:rsid w:val="004620F0"/>
    <w:rsid w:val="00476767"/>
    <w:rsid w:val="00493CEE"/>
    <w:rsid w:val="004A7ED8"/>
    <w:rsid w:val="004C208A"/>
    <w:rsid w:val="004F01ED"/>
    <w:rsid w:val="00500E57"/>
    <w:rsid w:val="00505193"/>
    <w:rsid w:val="00521DBD"/>
    <w:rsid w:val="00530BF7"/>
    <w:rsid w:val="0053380C"/>
    <w:rsid w:val="005378AE"/>
    <w:rsid w:val="00540C0D"/>
    <w:rsid w:val="00547A13"/>
    <w:rsid w:val="005500B7"/>
    <w:rsid w:val="00553A6C"/>
    <w:rsid w:val="005601B1"/>
    <w:rsid w:val="00560D8F"/>
    <w:rsid w:val="0056357E"/>
    <w:rsid w:val="00572630"/>
    <w:rsid w:val="005809F3"/>
    <w:rsid w:val="0058369A"/>
    <w:rsid w:val="0058651D"/>
    <w:rsid w:val="005A34A0"/>
    <w:rsid w:val="005B4E23"/>
    <w:rsid w:val="005B541A"/>
    <w:rsid w:val="005C38D3"/>
    <w:rsid w:val="005D137B"/>
    <w:rsid w:val="005D1414"/>
    <w:rsid w:val="005E3B55"/>
    <w:rsid w:val="005F0E2B"/>
    <w:rsid w:val="005F48C7"/>
    <w:rsid w:val="005F5695"/>
    <w:rsid w:val="00612EEE"/>
    <w:rsid w:val="00613164"/>
    <w:rsid w:val="00621092"/>
    <w:rsid w:val="0062133E"/>
    <w:rsid w:val="00630229"/>
    <w:rsid w:val="006354D1"/>
    <w:rsid w:val="00646648"/>
    <w:rsid w:val="0066270E"/>
    <w:rsid w:val="00665A82"/>
    <w:rsid w:val="00695B12"/>
    <w:rsid w:val="006B3A53"/>
    <w:rsid w:val="006C2B48"/>
    <w:rsid w:val="006C3B63"/>
    <w:rsid w:val="006D0CFB"/>
    <w:rsid w:val="006E12FB"/>
    <w:rsid w:val="006F46FC"/>
    <w:rsid w:val="00706FB1"/>
    <w:rsid w:val="0071338D"/>
    <w:rsid w:val="00723E68"/>
    <w:rsid w:val="007357ED"/>
    <w:rsid w:val="007659FA"/>
    <w:rsid w:val="0077239D"/>
    <w:rsid w:val="00780026"/>
    <w:rsid w:val="007803AD"/>
    <w:rsid w:val="00780C4A"/>
    <w:rsid w:val="007A370A"/>
    <w:rsid w:val="007A49D6"/>
    <w:rsid w:val="007B0C69"/>
    <w:rsid w:val="007B24D4"/>
    <w:rsid w:val="007B4F96"/>
    <w:rsid w:val="007B5ED6"/>
    <w:rsid w:val="007B6013"/>
    <w:rsid w:val="007C7FD6"/>
    <w:rsid w:val="007D28BB"/>
    <w:rsid w:val="007D53DF"/>
    <w:rsid w:val="007F0ADD"/>
    <w:rsid w:val="007F1C7D"/>
    <w:rsid w:val="00811FDE"/>
    <w:rsid w:val="00815D5B"/>
    <w:rsid w:val="00816B37"/>
    <w:rsid w:val="00834C22"/>
    <w:rsid w:val="00837227"/>
    <w:rsid w:val="00840613"/>
    <w:rsid w:val="00844089"/>
    <w:rsid w:val="00844A4F"/>
    <w:rsid w:val="00852311"/>
    <w:rsid w:val="00885F85"/>
    <w:rsid w:val="0088707E"/>
    <w:rsid w:val="008928CF"/>
    <w:rsid w:val="00893FFD"/>
    <w:rsid w:val="0089614D"/>
    <w:rsid w:val="008A6492"/>
    <w:rsid w:val="008C3DF3"/>
    <w:rsid w:val="008E5DA9"/>
    <w:rsid w:val="008F3EAE"/>
    <w:rsid w:val="008F4447"/>
    <w:rsid w:val="008F7AC4"/>
    <w:rsid w:val="00907EF2"/>
    <w:rsid w:val="009274CC"/>
    <w:rsid w:val="0094371A"/>
    <w:rsid w:val="009501BD"/>
    <w:rsid w:val="00965FDE"/>
    <w:rsid w:val="0098090A"/>
    <w:rsid w:val="009A0449"/>
    <w:rsid w:val="009A7A72"/>
    <w:rsid w:val="009B46EA"/>
    <w:rsid w:val="009B528F"/>
    <w:rsid w:val="009D5D58"/>
    <w:rsid w:val="009D62AE"/>
    <w:rsid w:val="009F655C"/>
    <w:rsid w:val="00A00EB6"/>
    <w:rsid w:val="00A0325F"/>
    <w:rsid w:val="00A368F6"/>
    <w:rsid w:val="00A40C77"/>
    <w:rsid w:val="00A42404"/>
    <w:rsid w:val="00A649B0"/>
    <w:rsid w:val="00A87747"/>
    <w:rsid w:val="00A97A53"/>
    <w:rsid w:val="00A97C45"/>
    <w:rsid w:val="00AA6764"/>
    <w:rsid w:val="00AB7B4C"/>
    <w:rsid w:val="00AC13DB"/>
    <w:rsid w:val="00AC58C8"/>
    <w:rsid w:val="00AD1AAD"/>
    <w:rsid w:val="00AD6026"/>
    <w:rsid w:val="00AE62C7"/>
    <w:rsid w:val="00B15E60"/>
    <w:rsid w:val="00B34B1D"/>
    <w:rsid w:val="00B46668"/>
    <w:rsid w:val="00B46F57"/>
    <w:rsid w:val="00B53F31"/>
    <w:rsid w:val="00B62F84"/>
    <w:rsid w:val="00B64C5B"/>
    <w:rsid w:val="00B709FE"/>
    <w:rsid w:val="00B80530"/>
    <w:rsid w:val="00B820A3"/>
    <w:rsid w:val="00B94076"/>
    <w:rsid w:val="00BA1E72"/>
    <w:rsid w:val="00BA56D3"/>
    <w:rsid w:val="00BB0F79"/>
    <w:rsid w:val="00BC6BB0"/>
    <w:rsid w:val="00BD7AE7"/>
    <w:rsid w:val="00C01937"/>
    <w:rsid w:val="00C04BCA"/>
    <w:rsid w:val="00C154A8"/>
    <w:rsid w:val="00C32688"/>
    <w:rsid w:val="00C6568B"/>
    <w:rsid w:val="00C826CE"/>
    <w:rsid w:val="00C83042"/>
    <w:rsid w:val="00C95AB6"/>
    <w:rsid w:val="00CB4DC6"/>
    <w:rsid w:val="00CB5C6F"/>
    <w:rsid w:val="00CE0757"/>
    <w:rsid w:val="00CE19E0"/>
    <w:rsid w:val="00CE570A"/>
    <w:rsid w:val="00CE57D8"/>
    <w:rsid w:val="00CF293E"/>
    <w:rsid w:val="00D23B6B"/>
    <w:rsid w:val="00D302B5"/>
    <w:rsid w:val="00D44B7E"/>
    <w:rsid w:val="00D87F71"/>
    <w:rsid w:val="00D90267"/>
    <w:rsid w:val="00DA55A2"/>
    <w:rsid w:val="00DD3AB4"/>
    <w:rsid w:val="00DD4EBA"/>
    <w:rsid w:val="00DE550C"/>
    <w:rsid w:val="00DE6409"/>
    <w:rsid w:val="00DF06CC"/>
    <w:rsid w:val="00DF1349"/>
    <w:rsid w:val="00DF79EF"/>
    <w:rsid w:val="00DF7A14"/>
    <w:rsid w:val="00E12214"/>
    <w:rsid w:val="00E150DB"/>
    <w:rsid w:val="00E22547"/>
    <w:rsid w:val="00E37C39"/>
    <w:rsid w:val="00E4307D"/>
    <w:rsid w:val="00E567AC"/>
    <w:rsid w:val="00E70F8D"/>
    <w:rsid w:val="00E71E54"/>
    <w:rsid w:val="00E72BAC"/>
    <w:rsid w:val="00E76D32"/>
    <w:rsid w:val="00EB1DA0"/>
    <w:rsid w:val="00EE425E"/>
    <w:rsid w:val="00F03831"/>
    <w:rsid w:val="00F17197"/>
    <w:rsid w:val="00F26D33"/>
    <w:rsid w:val="00F3061A"/>
    <w:rsid w:val="00F42849"/>
    <w:rsid w:val="00F4533B"/>
    <w:rsid w:val="00F47302"/>
    <w:rsid w:val="00F80A9C"/>
    <w:rsid w:val="00F83222"/>
    <w:rsid w:val="00FA223D"/>
    <w:rsid w:val="00FA28B1"/>
    <w:rsid w:val="00FA61EB"/>
    <w:rsid w:val="00FB3D53"/>
    <w:rsid w:val="00FE0DA9"/>
    <w:rsid w:val="00FE2CFB"/>
    <w:rsid w:val="00FF6638"/>
    <w:rsid w:val="01335010"/>
    <w:rsid w:val="020C6FCD"/>
    <w:rsid w:val="025D7E0F"/>
    <w:rsid w:val="026B73C4"/>
    <w:rsid w:val="033B1486"/>
    <w:rsid w:val="033C6C4C"/>
    <w:rsid w:val="03913F17"/>
    <w:rsid w:val="042641C3"/>
    <w:rsid w:val="04BC6E53"/>
    <w:rsid w:val="04F43991"/>
    <w:rsid w:val="05C73C7E"/>
    <w:rsid w:val="05E9344D"/>
    <w:rsid w:val="0605736E"/>
    <w:rsid w:val="065A2532"/>
    <w:rsid w:val="06B86AF5"/>
    <w:rsid w:val="072056AB"/>
    <w:rsid w:val="076C2A04"/>
    <w:rsid w:val="07796EAF"/>
    <w:rsid w:val="082B7C9C"/>
    <w:rsid w:val="08A94798"/>
    <w:rsid w:val="08B12234"/>
    <w:rsid w:val="08ED001D"/>
    <w:rsid w:val="096F4936"/>
    <w:rsid w:val="09BA19CB"/>
    <w:rsid w:val="09BA2C11"/>
    <w:rsid w:val="0A6C4E83"/>
    <w:rsid w:val="0A9F7CEB"/>
    <w:rsid w:val="0AE727B7"/>
    <w:rsid w:val="0B5A75F0"/>
    <w:rsid w:val="0B906EC6"/>
    <w:rsid w:val="0B917AAB"/>
    <w:rsid w:val="0BD60E7F"/>
    <w:rsid w:val="0BE8486A"/>
    <w:rsid w:val="0C625A6B"/>
    <w:rsid w:val="0CA458E6"/>
    <w:rsid w:val="0CD34558"/>
    <w:rsid w:val="0D4F4F67"/>
    <w:rsid w:val="0DD062B0"/>
    <w:rsid w:val="0E2167ED"/>
    <w:rsid w:val="0EBC2367"/>
    <w:rsid w:val="0EF859B5"/>
    <w:rsid w:val="0F1B3F3A"/>
    <w:rsid w:val="0F443A97"/>
    <w:rsid w:val="0FAC7231"/>
    <w:rsid w:val="1037629C"/>
    <w:rsid w:val="10770AF8"/>
    <w:rsid w:val="10CB5798"/>
    <w:rsid w:val="1114424A"/>
    <w:rsid w:val="114351CB"/>
    <w:rsid w:val="12420313"/>
    <w:rsid w:val="12BB6343"/>
    <w:rsid w:val="12E573DD"/>
    <w:rsid w:val="13604784"/>
    <w:rsid w:val="139E6495"/>
    <w:rsid w:val="142150EF"/>
    <w:rsid w:val="145D0082"/>
    <w:rsid w:val="149176E7"/>
    <w:rsid w:val="14AD412A"/>
    <w:rsid w:val="15003DF4"/>
    <w:rsid w:val="150B18FE"/>
    <w:rsid w:val="15343384"/>
    <w:rsid w:val="15F246C7"/>
    <w:rsid w:val="16254E14"/>
    <w:rsid w:val="16765F52"/>
    <w:rsid w:val="16CA7C51"/>
    <w:rsid w:val="16DA7CFB"/>
    <w:rsid w:val="170B6A1F"/>
    <w:rsid w:val="174D0E8D"/>
    <w:rsid w:val="17761294"/>
    <w:rsid w:val="17B417A5"/>
    <w:rsid w:val="18687762"/>
    <w:rsid w:val="18F202F7"/>
    <w:rsid w:val="19273C0B"/>
    <w:rsid w:val="193E3AB9"/>
    <w:rsid w:val="19897C67"/>
    <w:rsid w:val="19980912"/>
    <w:rsid w:val="19F41B15"/>
    <w:rsid w:val="19FC7D6C"/>
    <w:rsid w:val="1A2B5FC1"/>
    <w:rsid w:val="1A53332E"/>
    <w:rsid w:val="1AB31D95"/>
    <w:rsid w:val="1AC23995"/>
    <w:rsid w:val="1B595372"/>
    <w:rsid w:val="1BDF5898"/>
    <w:rsid w:val="1BE54763"/>
    <w:rsid w:val="1BED6CC8"/>
    <w:rsid w:val="1C921B7F"/>
    <w:rsid w:val="1D723E5C"/>
    <w:rsid w:val="1DEE6BD3"/>
    <w:rsid w:val="1E072D3F"/>
    <w:rsid w:val="1E196D8C"/>
    <w:rsid w:val="1E254956"/>
    <w:rsid w:val="1E3100A5"/>
    <w:rsid w:val="1F7B24A3"/>
    <w:rsid w:val="2090761F"/>
    <w:rsid w:val="211C508E"/>
    <w:rsid w:val="21292B90"/>
    <w:rsid w:val="214B0132"/>
    <w:rsid w:val="22723E6C"/>
    <w:rsid w:val="23330731"/>
    <w:rsid w:val="235746B3"/>
    <w:rsid w:val="241A6907"/>
    <w:rsid w:val="24933BA9"/>
    <w:rsid w:val="24A3359E"/>
    <w:rsid w:val="24D67B75"/>
    <w:rsid w:val="24F64F44"/>
    <w:rsid w:val="24FD194A"/>
    <w:rsid w:val="25193297"/>
    <w:rsid w:val="25E97013"/>
    <w:rsid w:val="26B434F7"/>
    <w:rsid w:val="29083C4A"/>
    <w:rsid w:val="29632CE2"/>
    <w:rsid w:val="298F35EA"/>
    <w:rsid w:val="29A31417"/>
    <w:rsid w:val="29D93BD5"/>
    <w:rsid w:val="2A06562E"/>
    <w:rsid w:val="2A353EAA"/>
    <w:rsid w:val="2A581EBF"/>
    <w:rsid w:val="2A63217A"/>
    <w:rsid w:val="2AC95F1F"/>
    <w:rsid w:val="2AD7095F"/>
    <w:rsid w:val="2B9E37AB"/>
    <w:rsid w:val="2BF167D0"/>
    <w:rsid w:val="2C5E6204"/>
    <w:rsid w:val="2CD31F93"/>
    <w:rsid w:val="2CD63C49"/>
    <w:rsid w:val="2D5C1823"/>
    <w:rsid w:val="2D64465E"/>
    <w:rsid w:val="2EB3588D"/>
    <w:rsid w:val="2ED91C03"/>
    <w:rsid w:val="2F075880"/>
    <w:rsid w:val="2F412CE2"/>
    <w:rsid w:val="2F7825AF"/>
    <w:rsid w:val="3067352D"/>
    <w:rsid w:val="307A52A2"/>
    <w:rsid w:val="30AF2546"/>
    <w:rsid w:val="316E6FD6"/>
    <w:rsid w:val="31C62BAD"/>
    <w:rsid w:val="323C7E99"/>
    <w:rsid w:val="328A196C"/>
    <w:rsid w:val="32C91576"/>
    <w:rsid w:val="33162037"/>
    <w:rsid w:val="3335683C"/>
    <w:rsid w:val="34044F29"/>
    <w:rsid w:val="348A4AA6"/>
    <w:rsid w:val="34E774D5"/>
    <w:rsid w:val="358C7D05"/>
    <w:rsid w:val="35960AA1"/>
    <w:rsid w:val="36554F91"/>
    <w:rsid w:val="36E73FD4"/>
    <w:rsid w:val="37012408"/>
    <w:rsid w:val="370A098A"/>
    <w:rsid w:val="375D55B8"/>
    <w:rsid w:val="376F3DB3"/>
    <w:rsid w:val="378F5AD1"/>
    <w:rsid w:val="37C804BF"/>
    <w:rsid w:val="37EC75C8"/>
    <w:rsid w:val="37F06C84"/>
    <w:rsid w:val="383A0EE6"/>
    <w:rsid w:val="387D7283"/>
    <w:rsid w:val="38B82CFD"/>
    <w:rsid w:val="38E42627"/>
    <w:rsid w:val="390213E5"/>
    <w:rsid w:val="3A3E11D8"/>
    <w:rsid w:val="3A4F59AB"/>
    <w:rsid w:val="3A500481"/>
    <w:rsid w:val="3BB95CED"/>
    <w:rsid w:val="3BC315F9"/>
    <w:rsid w:val="3C1A224E"/>
    <w:rsid w:val="3C7E13F4"/>
    <w:rsid w:val="3C973088"/>
    <w:rsid w:val="3CE70D5A"/>
    <w:rsid w:val="3D5D6E04"/>
    <w:rsid w:val="3E621042"/>
    <w:rsid w:val="3EC11B18"/>
    <w:rsid w:val="3ECD6667"/>
    <w:rsid w:val="3F5203AD"/>
    <w:rsid w:val="3F5F64A6"/>
    <w:rsid w:val="3F652B05"/>
    <w:rsid w:val="3F920DAA"/>
    <w:rsid w:val="400922E1"/>
    <w:rsid w:val="40623766"/>
    <w:rsid w:val="408959B9"/>
    <w:rsid w:val="41066C90"/>
    <w:rsid w:val="414768C7"/>
    <w:rsid w:val="41485078"/>
    <w:rsid w:val="41771F30"/>
    <w:rsid w:val="41A0606C"/>
    <w:rsid w:val="41B9531A"/>
    <w:rsid w:val="43246616"/>
    <w:rsid w:val="43984225"/>
    <w:rsid w:val="44557D46"/>
    <w:rsid w:val="460123E7"/>
    <w:rsid w:val="470C0806"/>
    <w:rsid w:val="47524B73"/>
    <w:rsid w:val="47AF0720"/>
    <w:rsid w:val="47D20A1E"/>
    <w:rsid w:val="47EE106F"/>
    <w:rsid w:val="48025E9A"/>
    <w:rsid w:val="48087122"/>
    <w:rsid w:val="482E0674"/>
    <w:rsid w:val="49456EFA"/>
    <w:rsid w:val="496B03EE"/>
    <w:rsid w:val="4984489F"/>
    <w:rsid w:val="49C37638"/>
    <w:rsid w:val="4AE86FEE"/>
    <w:rsid w:val="4B337DDC"/>
    <w:rsid w:val="4B5467D9"/>
    <w:rsid w:val="4B593010"/>
    <w:rsid w:val="4B9845C4"/>
    <w:rsid w:val="4BA57EDC"/>
    <w:rsid w:val="4C4F72ED"/>
    <w:rsid w:val="4C8C4211"/>
    <w:rsid w:val="4CD16838"/>
    <w:rsid w:val="4CFD09B6"/>
    <w:rsid w:val="4DB55603"/>
    <w:rsid w:val="4DB66476"/>
    <w:rsid w:val="4E3668CF"/>
    <w:rsid w:val="4E466427"/>
    <w:rsid w:val="4E883E4B"/>
    <w:rsid w:val="4EFB6DA2"/>
    <w:rsid w:val="4F30627D"/>
    <w:rsid w:val="4FAC7734"/>
    <w:rsid w:val="4FCC054C"/>
    <w:rsid w:val="4FE434CA"/>
    <w:rsid w:val="4FEA107E"/>
    <w:rsid w:val="4FEF3A4A"/>
    <w:rsid w:val="50535F3D"/>
    <w:rsid w:val="514804CE"/>
    <w:rsid w:val="514D6F11"/>
    <w:rsid w:val="51E1510C"/>
    <w:rsid w:val="52022689"/>
    <w:rsid w:val="52052828"/>
    <w:rsid w:val="527C1033"/>
    <w:rsid w:val="536A255C"/>
    <w:rsid w:val="54AB443A"/>
    <w:rsid w:val="54F45C8A"/>
    <w:rsid w:val="55121FC4"/>
    <w:rsid w:val="55765166"/>
    <w:rsid w:val="5591622C"/>
    <w:rsid w:val="56A50B50"/>
    <w:rsid w:val="56BC0884"/>
    <w:rsid w:val="56D43B58"/>
    <w:rsid w:val="56EE5ACC"/>
    <w:rsid w:val="56F65B9C"/>
    <w:rsid w:val="578F1542"/>
    <w:rsid w:val="58471A27"/>
    <w:rsid w:val="58FA27B2"/>
    <w:rsid w:val="59A13BD8"/>
    <w:rsid w:val="5A4B2E98"/>
    <w:rsid w:val="5A576A23"/>
    <w:rsid w:val="5A79308C"/>
    <w:rsid w:val="5AFF70F5"/>
    <w:rsid w:val="5B274F75"/>
    <w:rsid w:val="5B614BE9"/>
    <w:rsid w:val="5BE24AE8"/>
    <w:rsid w:val="5C12487B"/>
    <w:rsid w:val="5C2F7F32"/>
    <w:rsid w:val="5C4953B9"/>
    <w:rsid w:val="5CA06246"/>
    <w:rsid w:val="5CCC4F1F"/>
    <w:rsid w:val="5D50216C"/>
    <w:rsid w:val="5D7A38CE"/>
    <w:rsid w:val="5DAB5DB7"/>
    <w:rsid w:val="5E322B4C"/>
    <w:rsid w:val="5E8A1D66"/>
    <w:rsid w:val="5ECC2E2D"/>
    <w:rsid w:val="5EF50A69"/>
    <w:rsid w:val="5F4C5670"/>
    <w:rsid w:val="60065570"/>
    <w:rsid w:val="601668AA"/>
    <w:rsid w:val="60362318"/>
    <w:rsid w:val="60863FAB"/>
    <w:rsid w:val="60990F91"/>
    <w:rsid w:val="61921176"/>
    <w:rsid w:val="61B45024"/>
    <w:rsid w:val="623A529F"/>
    <w:rsid w:val="62885948"/>
    <w:rsid w:val="63604CE6"/>
    <w:rsid w:val="6371708E"/>
    <w:rsid w:val="63CB7B24"/>
    <w:rsid w:val="640B069D"/>
    <w:rsid w:val="648B257A"/>
    <w:rsid w:val="648E3FBF"/>
    <w:rsid w:val="64A74FEB"/>
    <w:rsid w:val="6517634C"/>
    <w:rsid w:val="6520165B"/>
    <w:rsid w:val="653F3E56"/>
    <w:rsid w:val="65D9196F"/>
    <w:rsid w:val="66293F59"/>
    <w:rsid w:val="66334732"/>
    <w:rsid w:val="663750B4"/>
    <w:rsid w:val="66541526"/>
    <w:rsid w:val="665C5F77"/>
    <w:rsid w:val="66614390"/>
    <w:rsid w:val="666554F3"/>
    <w:rsid w:val="66847DB8"/>
    <w:rsid w:val="67687461"/>
    <w:rsid w:val="67FF08BD"/>
    <w:rsid w:val="682E6D88"/>
    <w:rsid w:val="68987779"/>
    <w:rsid w:val="68EF20F5"/>
    <w:rsid w:val="697A5CFA"/>
    <w:rsid w:val="69F16B27"/>
    <w:rsid w:val="6A016BDA"/>
    <w:rsid w:val="6A3124B0"/>
    <w:rsid w:val="6A773CC8"/>
    <w:rsid w:val="6AC05001"/>
    <w:rsid w:val="6AC846ED"/>
    <w:rsid w:val="6B140682"/>
    <w:rsid w:val="6B51548F"/>
    <w:rsid w:val="6BC95A86"/>
    <w:rsid w:val="6BD312B9"/>
    <w:rsid w:val="6C2410CE"/>
    <w:rsid w:val="6C2F6C5B"/>
    <w:rsid w:val="6C6F0CC7"/>
    <w:rsid w:val="6C8E6F9E"/>
    <w:rsid w:val="6C9B1E9C"/>
    <w:rsid w:val="6CBE1657"/>
    <w:rsid w:val="6D277CF3"/>
    <w:rsid w:val="6D3C2F4C"/>
    <w:rsid w:val="6D4A7D3C"/>
    <w:rsid w:val="6D7A4449"/>
    <w:rsid w:val="6DDA58E3"/>
    <w:rsid w:val="6DF237E2"/>
    <w:rsid w:val="6E89104E"/>
    <w:rsid w:val="6F382FF3"/>
    <w:rsid w:val="6F9F336B"/>
    <w:rsid w:val="7093078C"/>
    <w:rsid w:val="713B0409"/>
    <w:rsid w:val="71FC3840"/>
    <w:rsid w:val="727349F5"/>
    <w:rsid w:val="73140C33"/>
    <w:rsid w:val="7319050F"/>
    <w:rsid w:val="733D50AF"/>
    <w:rsid w:val="735F4DC2"/>
    <w:rsid w:val="73686CC5"/>
    <w:rsid w:val="74087A91"/>
    <w:rsid w:val="744116B5"/>
    <w:rsid w:val="74775276"/>
    <w:rsid w:val="747E2CA1"/>
    <w:rsid w:val="75290246"/>
    <w:rsid w:val="755A27EE"/>
    <w:rsid w:val="75F879B8"/>
    <w:rsid w:val="76105B18"/>
    <w:rsid w:val="76151905"/>
    <w:rsid w:val="7677382E"/>
    <w:rsid w:val="768F7172"/>
    <w:rsid w:val="76B45618"/>
    <w:rsid w:val="76CB3187"/>
    <w:rsid w:val="775F32F7"/>
    <w:rsid w:val="783B0816"/>
    <w:rsid w:val="78D45509"/>
    <w:rsid w:val="79DD7DFF"/>
    <w:rsid w:val="7AF73B90"/>
    <w:rsid w:val="7B625132"/>
    <w:rsid w:val="7BA00ADE"/>
    <w:rsid w:val="7BB6534A"/>
    <w:rsid w:val="7BB747BF"/>
    <w:rsid w:val="7C25635B"/>
    <w:rsid w:val="7C5316AC"/>
    <w:rsid w:val="7CE4411E"/>
    <w:rsid w:val="7D06331A"/>
    <w:rsid w:val="7D286C5C"/>
    <w:rsid w:val="7D532926"/>
    <w:rsid w:val="7D6F5E83"/>
    <w:rsid w:val="7D8A16D2"/>
    <w:rsid w:val="7D8E6AE4"/>
    <w:rsid w:val="7D996693"/>
    <w:rsid w:val="7F42209E"/>
    <w:rsid w:val="7FC334AD"/>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nhideWhenUsed="0" w:uiPriority="99" w:semiHidden="0" w:name="Date"/>
    <w:lsdException w:uiPriority="99" w:name="Body Text First Indent"/>
    <w:lsdException w:uiPriority="99" w:name="Body Text First Indent 2"/>
    <w:lsdException w:uiPriority="99" w:name="Note Heading"/>
    <w:lsdException w:qFormat="1" w:unhideWhenUsed="0" w:uiPriority="0" w:semiHidden="0"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99" w:semiHidden="0" w:name="Strong" w:locked="1"/>
    <w:lsdException w:qFormat="1" w:unhideWhenUsed="0" w:uiPriority="0" w:semiHidden="0" w:name="Emphasis" w:locked="1"/>
    <w:lsdException w:uiPriority="99" w:name="Document Map"/>
    <w:lsdException w:qFormat="1" w:uiPriority="99"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Calibri"/>
      <w:sz w:val="21"/>
      <w:szCs w:val="21"/>
      <w:lang w:val="en-US" w:eastAsia="zh-CN" w:bidi="ar-SA"/>
    </w:rPr>
  </w:style>
  <w:style w:type="paragraph" w:styleId="2">
    <w:name w:val="heading 1"/>
    <w:basedOn w:val="1"/>
    <w:next w:val="1"/>
    <w:link w:val="23"/>
    <w:qFormat/>
    <w:locked/>
    <w:uiPriority w:val="0"/>
    <w:pPr>
      <w:keepNext/>
      <w:jc w:val="center"/>
      <w:outlineLvl w:val="0"/>
    </w:pPr>
    <w:rPr>
      <w:rFonts w:ascii="Times New Roman" w:hAnsi="Times New Roman" w:cs="Times New Roman"/>
      <w:b/>
      <w:bCs/>
      <w:kern w:val="2"/>
      <w:sz w:val="24"/>
      <w:szCs w:val="20"/>
    </w:rPr>
  </w:style>
  <w:style w:type="character" w:default="1" w:styleId="10">
    <w:name w:val="Default Paragraph Font"/>
    <w:unhideWhenUsed/>
    <w:qFormat/>
    <w:uiPriority w:val="1"/>
  </w:style>
  <w:style w:type="table" w:default="1" w:styleId="13">
    <w:name w:val="Normal Table"/>
    <w:unhideWhenUsed/>
    <w:qFormat/>
    <w:uiPriority w:val="99"/>
    <w:tblPr>
      <w:tblLayout w:type="fixed"/>
      <w:tblCellMar>
        <w:top w:w="0" w:type="dxa"/>
        <w:left w:w="108" w:type="dxa"/>
        <w:bottom w:w="0" w:type="dxa"/>
        <w:right w:w="108" w:type="dxa"/>
      </w:tblCellMar>
    </w:tblPr>
  </w:style>
  <w:style w:type="paragraph" w:styleId="3">
    <w:name w:val="Plain Text"/>
    <w:basedOn w:val="1"/>
    <w:unhideWhenUsed/>
    <w:qFormat/>
    <w:uiPriority w:val="99"/>
    <w:rPr>
      <w:rFonts w:ascii="宋体" w:hAnsi="Courier New" w:cs="Courier New"/>
      <w:szCs w:val="21"/>
    </w:rPr>
  </w:style>
  <w:style w:type="paragraph" w:styleId="4">
    <w:name w:val="Date"/>
    <w:basedOn w:val="1"/>
    <w:next w:val="1"/>
    <w:link w:val="15"/>
    <w:qFormat/>
    <w:uiPriority w:val="99"/>
    <w:rPr>
      <w:sz w:val="24"/>
      <w:szCs w:val="24"/>
    </w:rPr>
  </w:style>
  <w:style w:type="paragraph" w:styleId="5">
    <w:name w:val="Balloon Text"/>
    <w:basedOn w:val="1"/>
    <w:link w:val="22"/>
    <w:unhideWhenUsed/>
    <w:qFormat/>
    <w:uiPriority w:val="99"/>
    <w:rPr>
      <w:sz w:val="18"/>
      <w:szCs w:val="18"/>
    </w:rPr>
  </w:style>
  <w:style w:type="paragraph" w:styleId="6">
    <w:name w:val="footer"/>
    <w:basedOn w:val="1"/>
    <w:link w:val="19"/>
    <w:unhideWhenUsed/>
    <w:qFormat/>
    <w:uiPriority w:val="99"/>
    <w:pPr>
      <w:tabs>
        <w:tab w:val="center" w:pos="4153"/>
        <w:tab w:val="right" w:pos="8306"/>
      </w:tabs>
      <w:snapToGrid w:val="0"/>
      <w:jc w:val="left"/>
    </w:pPr>
    <w:rPr>
      <w:sz w:val="18"/>
    </w:rPr>
  </w:style>
  <w:style w:type="paragraph" w:styleId="7">
    <w:name w:val="header"/>
    <w:basedOn w:val="1"/>
    <w:link w:val="18"/>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Body Text 2"/>
    <w:basedOn w:val="1"/>
    <w:link w:val="21"/>
    <w:qFormat/>
    <w:uiPriority w:val="0"/>
    <w:pPr>
      <w:spacing w:after="120" w:line="480" w:lineRule="auto"/>
    </w:pPr>
    <w:rPr>
      <w:rFonts w:ascii="Times New Roman" w:hAnsi="Times New Roman" w:cs="Times New Roman"/>
      <w:kern w:val="2"/>
      <w:szCs w:val="24"/>
    </w:rPr>
  </w:style>
  <w:style w:type="paragraph" w:styleId="9">
    <w:name w:val="Normal (Web)"/>
    <w:basedOn w:val="1"/>
    <w:unhideWhenUsed/>
    <w:qFormat/>
    <w:uiPriority w:val="99"/>
    <w:pPr>
      <w:widowControl/>
      <w:spacing w:beforeAutospacing="1" w:afterAutospacing="1"/>
      <w:jc w:val="left"/>
    </w:pPr>
    <w:rPr>
      <w:rFonts w:ascii="宋体" w:hAnsi="宋体" w:cs="宋体"/>
      <w:sz w:val="24"/>
    </w:rPr>
  </w:style>
  <w:style w:type="character" w:styleId="11">
    <w:name w:val="Strong"/>
    <w:basedOn w:val="10"/>
    <w:qFormat/>
    <w:locked/>
    <w:uiPriority w:val="99"/>
    <w:rPr>
      <w:b/>
      <w:bCs/>
    </w:rPr>
  </w:style>
  <w:style w:type="character" w:styleId="12">
    <w:name w:val="page number"/>
    <w:basedOn w:val="10"/>
    <w:unhideWhenUsed/>
    <w:qFormat/>
    <w:uiPriority w:val="99"/>
  </w:style>
  <w:style w:type="table" w:styleId="14">
    <w:name w:val="Table Grid"/>
    <w:basedOn w:val="13"/>
    <w:qFormat/>
    <w:locked/>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5">
    <w:name w:val="日期 Char"/>
    <w:basedOn w:val="10"/>
    <w:link w:val="4"/>
    <w:semiHidden/>
    <w:qFormat/>
    <w:uiPriority w:val="99"/>
    <w:rPr>
      <w:rFonts w:cs="Calibri"/>
      <w:kern w:val="0"/>
      <w:szCs w:val="21"/>
    </w:rPr>
  </w:style>
  <w:style w:type="paragraph" w:customStyle="1" w:styleId="16">
    <w:name w:val="_Style 2"/>
    <w:basedOn w:val="1"/>
    <w:qFormat/>
    <w:uiPriority w:val="99"/>
    <w:pPr>
      <w:ind w:firstLine="420" w:firstLineChars="200"/>
    </w:pPr>
  </w:style>
  <w:style w:type="paragraph" w:customStyle="1" w:styleId="17">
    <w:name w:val="List Paragraph1"/>
    <w:basedOn w:val="1"/>
    <w:qFormat/>
    <w:uiPriority w:val="99"/>
    <w:pPr>
      <w:ind w:firstLine="420" w:firstLineChars="200"/>
    </w:pPr>
  </w:style>
  <w:style w:type="character" w:customStyle="1" w:styleId="18">
    <w:name w:val="页眉 Char"/>
    <w:basedOn w:val="10"/>
    <w:link w:val="7"/>
    <w:qFormat/>
    <w:uiPriority w:val="0"/>
    <w:rPr>
      <w:rFonts w:hint="eastAsia" w:ascii="宋体" w:hAnsi="宋体" w:eastAsia="宋体" w:cs="宋体"/>
      <w:kern w:val="2"/>
      <w:sz w:val="18"/>
      <w:lang w:val="en-US" w:eastAsia="zh-CN"/>
    </w:rPr>
  </w:style>
  <w:style w:type="character" w:customStyle="1" w:styleId="19">
    <w:name w:val="页脚 Char"/>
    <w:basedOn w:val="10"/>
    <w:link w:val="6"/>
    <w:qFormat/>
    <w:uiPriority w:val="0"/>
    <w:rPr>
      <w:rFonts w:hint="eastAsia" w:ascii="宋体" w:hAnsi="宋体" w:eastAsia="宋体" w:cs="宋体"/>
      <w:kern w:val="2"/>
      <w:sz w:val="18"/>
      <w:lang w:val="en-US" w:eastAsia="zh-CN"/>
    </w:rPr>
  </w:style>
  <w:style w:type="paragraph" w:customStyle="1" w:styleId="20">
    <w:name w:val="List Paragraph"/>
    <w:basedOn w:val="1"/>
    <w:unhideWhenUsed/>
    <w:qFormat/>
    <w:uiPriority w:val="99"/>
    <w:pPr>
      <w:ind w:firstLine="420" w:firstLineChars="200"/>
    </w:pPr>
  </w:style>
  <w:style w:type="character" w:customStyle="1" w:styleId="21">
    <w:name w:val="正文文本 2 Char"/>
    <w:basedOn w:val="10"/>
    <w:link w:val="8"/>
    <w:qFormat/>
    <w:uiPriority w:val="0"/>
    <w:rPr>
      <w:kern w:val="2"/>
      <w:sz w:val="21"/>
      <w:szCs w:val="24"/>
    </w:rPr>
  </w:style>
  <w:style w:type="character" w:customStyle="1" w:styleId="22">
    <w:name w:val="批注框文本 Char"/>
    <w:basedOn w:val="10"/>
    <w:link w:val="5"/>
    <w:semiHidden/>
    <w:qFormat/>
    <w:uiPriority w:val="99"/>
    <w:rPr>
      <w:rFonts w:ascii="Calibri" w:hAnsi="Calibri" w:cs="Calibri"/>
      <w:sz w:val="18"/>
      <w:szCs w:val="18"/>
    </w:rPr>
  </w:style>
  <w:style w:type="character" w:customStyle="1" w:styleId="23">
    <w:name w:val="标题 1 Char"/>
    <w:basedOn w:val="10"/>
    <w:link w:val="2"/>
    <w:qFormat/>
    <w:uiPriority w:val="0"/>
    <w:rPr>
      <w:b/>
      <w:bCs/>
      <w:kern w:val="2"/>
      <w:sz w:val="24"/>
    </w:rPr>
  </w:style>
  <w:style w:type="paragraph" w:customStyle="1" w:styleId="24">
    <w:name w:val="普通(网站)1"/>
    <w:basedOn w:val="1"/>
    <w:qFormat/>
    <w:uiPriority w:val="0"/>
    <w:pPr>
      <w:jc w:val="left"/>
    </w:pPr>
    <w:rPr>
      <w:rFonts w:cs="黑体"/>
      <w:sz w:val="24"/>
      <w:szCs w:val="24"/>
    </w:rPr>
  </w:style>
  <w:style w:type="paragraph" w:customStyle="1" w:styleId="25">
    <w:name w:val="章标题"/>
    <w:basedOn w:val="1"/>
    <w:next w:val="1"/>
    <w:qFormat/>
    <w:uiPriority w:val="99"/>
    <w:pPr>
      <w:widowControl/>
      <w:spacing w:beforeLines="50" w:afterLines="50"/>
      <w:outlineLvl w:val="1"/>
    </w:pPr>
    <w:rPr>
      <w:rFonts w:ascii="黑体" w:hAnsi="黑体" w:eastAsia="黑体" w:cs="宋体"/>
      <w:kern w:val="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1" Type="http://schemas.openxmlformats.org/officeDocument/2006/relationships/fontTable" Target="fontTable.xml"/><Relationship Id="rId40" Type="http://schemas.openxmlformats.org/officeDocument/2006/relationships/customXml" Target="../customXml/item2.xml"/><Relationship Id="rId4" Type="http://schemas.openxmlformats.org/officeDocument/2006/relationships/footer" Target="footer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2.jpeg"/><Relationship Id="rId36" Type="http://schemas.openxmlformats.org/officeDocument/2006/relationships/image" Target="media/image31.jpeg"/><Relationship Id="rId35" Type="http://schemas.openxmlformats.org/officeDocument/2006/relationships/image" Target="media/image30.jpeg"/><Relationship Id="rId34" Type="http://schemas.openxmlformats.org/officeDocument/2006/relationships/image" Target="media/image29.jpeg"/><Relationship Id="rId33" Type="http://schemas.openxmlformats.org/officeDocument/2006/relationships/image" Target="media/image28.jpeg"/><Relationship Id="rId32" Type="http://schemas.openxmlformats.org/officeDocument/2006/relationships/image" Target="media/image27.jpeg"/><Relationship Id="rId31" Type="http://schemas.openxmlformats.org/officeDocument/2006/relationships/image" Target="media/image26.jpeg"/><Relationship Id="rId30" Type="http://schemas.openxmlformats.org/officeDocument/2006/relationships/image" Target="media/image25.jpeg"/><Relationship Id="rId3" Type="http://schemas.openxmlformats.org/officeDocument/2006/relationships/header" Target="header1.xml"/><Relationship Id="rId29" Type="http://schemas.openxmlformats.org/officeDocument/2006/relationships/image" Target="media/image24.jpe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jpeg"/><Relationship Id="rId17" Type="http://schemas.openxmlformats.org/officeDocument/2006/relationships/image" Target="media/image12.pn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G:\&#26041;\&#21326;&#23481;&#21439;&#20892;&#19994;&#23616;\&#32534;&#21360;&#8220;&#19977;&#20892;&#8221;&#25919;&#31574;\&#32439;&#32321;&#22810;&#24425;.wp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4B52C69-099C-4534-A014-3C79B35EBF08}">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63</Pages>
  <Words>5641</Words>
  <Characters>32154</Characters>
  <Lines>267</Lines>
  <Paragraphs>75</Paragraphs>
  <ScaleCrop>false</ScaleCrop>
  <LinksUpToDate>false</LinksUpToDate>
  <CharactersWithSpaces>37720</CharactersWithSpaces>
  <Application>WPS Office_10.1.0.7022_F1E327BC-269C-435d-A152-05C5408002CA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2017-04-17T08:27:00Z</dcterms:created>
  <dc:creator>Administrator</dc:creator>
  <cp:lastModifiedBy>Administrator</cp:lastModifiedBy>
  <cp:lastPrinted>2017-12-20T09:23:36Z</cp:lastPrinted>
  <dcterms:modified xsi:type="dcterms:W3CDTF">2017-12-20T09:23:42Z</dcterms:modified>
  <cp:revision>136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2052-10.1.0.7022</vt:lpwstr>
  </property>
</Properties>
</file>